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918D" w14:textId="77777777" w:rsidR="004657CD" w:rsidRDefault="004657CD" w:rsidP="00B802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DB62B" w14:textId="472EF520" w:rsidR="0000478C" w:rsidRPr="00D616B7" w:rsidRDefault="0000478C" w:rsidP="004657CD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D616B7">
        <w:rPr>
          <w:rFonts w:ascii="Arial" w:hAnsi="Arial" w:cs="Arial"/>
          <w:b/>
          <w:bCs/>
          <w:sz w:val="24"/>
          <w:szCs w:val="24"/>
        </w:rPr>
        <w:t>A</w:t>
      </w:r>
      <w:r w:rsidR="00AC7AA8" w:rsidRPr="00D616B7">
        <w:rPr>
          <w:rFonts w:ascii="Arial" w:hAnsi="Arial" w:cs="Arial"/>
          <w:b/>
          <w:bCs/>
          <w:sz w:val="24"/>
          <w:szCs w:val="24"/>
        </w:rPr>
        <w:t xml:space="preserve">USTRALIAN COUNCIL OF TESOL ASSOCIATIONS </w:t>
      </w:r>
      <w:r w:rsidRPr="00D616B7">
        <w:rPr>
          <w:rFonts w:ascii="Arial" w:hAnsi="Arial" w:cs="Arial"/>
          <w:b/>
          <w:bCs/>
          <w:sz w:val="24"/>
          <w:szCs w:val="24"/>
        </w:rPr>
        <w:t xml:space="preserve">ADVICE TO NSRA REFORM TASKFORCE ON </w:t>
      </w:r>
      <w:r w:rsidR="006D260C" w:rsidRPr="00D616B7">
        <w:rPr>
          <w:rFonts w:ascii="Arial" w:hAnsi="Arial" w:cs="Arial"/>
          <w:b/>
          <w:bCs/>
          <w:sz w:val="24"/>
          <w:szCs w:val="24"/>
        </w:rPr>
        <w:t xml:space="preserve">DEPARTMENT OF EDUCATION RESTRUCTURE </w:t>
      </w:r>
      <w:r w:rsidRPr="00D616B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FB7DC6F" w14:textId="785F0033" w:rsidR="0000478C" w:rsidRPr="00D616B7" w:rsidRDefault="0000478C">
      <w:pPr>
        <w:rPr>
          <w:rFonts w:ascii="Arial" w:hAnsi="Arial" w:cs="Arial"/>
          <w:b/>
          <w:bCs/>
          <w:sz w:val="24"/>
          <w:szCs w:val="24"/>
        </w:rPr>
      </w:pPr>
      <w:r w:rsidRPr="00D616B7">
        <w:rPr>
          <w:rFonts w:ascii="Arial" w:hAnsi="Arial" w:cs="Arial"/>
          <w:b/>
          <w:bCs/>
          <w:sz w:val="24"/>
          <w:szCs w:val="24"/>
        </w:rPr>
        <w:t>BACKGROUND:</w:t>
      </w:r>
    </w:p>
    <w:p w14:paraId="1086B1ED" w14:textId="1CDD2C33" w:rsidR="008D3B8F" w:rsidRDefault="00F03926" w:rsidP="008D3B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 consultation meeting between ACTA and officials from the </w:t>
      </w:r>
      <w:r w:rsidRPr="00F03926">
        <w:rPr>
          <w:rFonts w:ascii="Times New Roman" w:hAnsi="Times New Roman" w:cs="Times New Roman"/>
          <w:sz w:val="24"/>
          <w:szCs w:val="24"/>
        </w:rPr>
        <w:t xml:space="preserve">NSRA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03926">
        <w:rPr>
          <w:rFonts w:ascii="Times New Roman" w:hAnsi="Times New Roman" w:cs="Times New Roman"/>
          <w:sz w:val="24"/>
          <w:szCs w:val="24"/>
        </w:rPr>
        <w:t xml:space="preserve">eform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3926">
        <w:rPr>
          <w:rFonts w:ascii="Times New Roman" w:hAnsi="Times New Roman" w:cs="Times New Roman"/>
          <w:sz w:val="24"/>
          <w:szCs w:val="24"/>
        </w:rPr>
        <w:t>askforce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926">
        <w:rPr>
          <w:rFonts w:ascii="Times New Roman" w:hAnsi="Times New Roman" w:cs="Times New Roman"/>
          <w:sz w:val="24"/>
          <w:szCs w:val="24"/>
        </w:rPr>
        <w:t>National Schools Reform Division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BC4907">
        <w:rPr>
          <w:rFonts w:ascii="Times New Roman" w:hAnsi="Times New Roman" w:cs="Times New Roman"/>
          <w:sz w:val="24"/>
          <w:szCs w:val="24"/>
        </w:rPr>
        <w:t>20 February 2024</w:t>
      </w:r>
      <w:r>
        <w:rPr>
          <w:rFonts w:ascii="Times New Roman" w:hAnsi="Times New Roman" w:cs="Times New Roman"/>
          <w:sz w:val="24"/>
          <w:szCs w:val="24"/>
        </w:rPr>
        <w:t xml:space="preserve">, a restructure involving EAL/D education was flagged.  It was anticipated </w:t>
      </w:r>
      <w:r w:rsidRPr="006D260C">
        <w:rPr>
          <w:rFonts w:ascii="Times New Roman" w:hAnsi="Times New Roman" w:cs="Times New Roman"/>
          <w:sz w:val="24"/>
          <w:szCs w:val="24"/>
        </w:rPr>
        <w:t xml:space="preserve">that </w:t>
      </w:r>
      <w:r w:rsidR="007749F3">
        <w:rPr>
          <w:rFonts w:ascii="Times New Roman" w:hAnsi="Times New Roman" w:cs="Times New Roman"/>
          <w:sz w:val="24"/>
          <w:szCs w:val="24"/>
        </w:rPr>
        <w:t>l</w:t>
      </w:r>
      <w:r w:rsidRPr="006D260C">
        <w:rPr>
          <w:rFonts w:ascii="Times New Roman" w:hAnsi="Times New Roman" w:cs="Times New Roman"/>
          <w:sz w:val="24"/>
          <w:szCs w:val="24"/>
        </w:rPr>
        <w:t>iteracy, languages and EALD education w</w:t>
      </w:r>
      <w:r>
        <w:rPr>
          <w:rFonts w:ascii="Times New Roman" w:hAnsi="Times New Roman" w:cs="Times New Roman"/>
          <w:sz w:val="24"/>
          <w:szCs w:val="24"/>
        </w:rPr>
        <w:t xml:space="preserve">ould </w:t>
      </w:r>
      <w:r w:rsidRPr="006D260C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established within the Commonwealth</w:t>
      </w:r>
      <w:r w:rsidRPr="00BC4907">
        <w:rPr>
          <w:rFonts w:ascii="Times New Roman" w:hAnsi="Times New Roman" w:cs="Times New Roman"/>
          <w:sz w:val="24"/>
          <w:szCs w:val="24"/>
        </w:rPr>
        <w:t xml:space="preserve"> Department of Education</w:t>
      </w:r>
      <w:r w:rsidRPr="006D260C"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sz w:val="24"/>
          <w:szCs w:val="24"/>
        </w:rPr>
        <w:t>a single</w:t>
      </w:r>
      <w:r w:rsidRPr="006D260C">
        <w:rPr>
          <w:rFonts w:ascii="Times New Roman" w:hAnsi="Times New Roman" w:cs="Times New Roman"/>
          <w:sz w:val="24"/>
          <w:szCs w:val="24"/>
        </w:rPr>
        <w:t xml:space="preserve"> Social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D260C">
        <w:rPr>
          <w:rFonts w:ascii="Times New Roman" w:hAnsi="Times New Roman" w:cs="Times New Roman"/>
          <w:sz w:val="24"/>
          <w:szCs w:val="24"/>
        </w:rPr>
        <w:t>ohesion and Languages team with a new director</w:t>
      </w:r>
      <w:r w:rsidR="00841B60">
        <w:rPr>
          <w:rFonts w:ascii="Times New Roman" w:hAnsi="Times New Roman" w:cs="Times New Roman"/>
          <w:sz w:val="24"/>
          <w:szCs w:val="24"/>
        </w:rPr>
        <w:t>,</w:t>
      </w:r>
      <w:r w:rsidR="00534996">
        <w:rPr>
          <w:rFonts w:ascii="Times New Roman" w:hAnsi="Times New Roman" w:cs="Times New Roman"/>
          <w:sz w:val="24"/>
          <w:szCs w:val="24"/>
        </w:rPr>
        <w:t xml:space="preserve"> and that</w:t>
      </w:r>
      <w:r w:rsidRPr="00F03926">
        <w:rPr>
          <w:rFonts w:ascii="Times New Roman" w:hAnsi="Times New Roman" w:cs="Times New Roman"/>
          <w:sz w:val="24"/>
          <w:szCs w:val="24"/>
        </w:rPr>
        <w:t xml:space="preserve"> the new </w:t>
      </w:r>
      <w:r w:rsidR="007749F3">
        <w:rPr>
          <w:rFonts w:ascii="Times New Roman" w:hAnsi="Times New Roman" w:cs="Times New Roman"/>
          <w:sz w:val="24"/>
          <w:szCs w:val="24"/>
        </w:rPr>
        <w:t>d</w:t>
      </w:r>
      <w:r w:rsidRPr="00F03926">
        <w:rPr>
          <w:rFonts w:ascii="Times New Roman" w:hAnsi="Times New Roman" w:cs="Times New Roman"/>
          <w:sz w:val="24"/>
          <w:szCs w:val="24"/>
        </w:rPr>
        <w:t xml:space="preserve">irector would reach out to ACTA to </w:t>
      </w:r>
      <w:r w:rsidR="00534996">
        <w:rPr>
          <w:rFonts w:ascii="Times New Roman" w:hAnsi="Times New Roman" w:cs="Times New Roman"/>
          <w:sz w:val="24"/>
          <w:szCs w:val="24"/>
        </w:rPr>
        <w:t>discuss</w:t>
      </w:r>
      <w:r w:rsidRPr="00F03926">
        <w:rPr>
          <w:rFonts w:ascii="Times New Roman" w:hAnsi="Times New Roman" w:cs="Times New Roman"/>
          <w:sz w:val="24"/>
          <w:szCs w:val="24"/>
        </w:rPr>
        <w:t xml:space="preserve"> </w:t>
      </w:r>
      <w:r w:rsidR="00841B60">
        <w:rPr>
          <w:rFonts w:ascii="Times New Roman" w:hAnsi="Times New Roman" w:cs="Times New Roman"/>
          <w:sz w:val="24"/>
          <w:szCs w:val="24"/>
        </w:rPr>
        <w:t>opportunities</w:t>
      </w:r>
      <w:r w:rsidRPr="00F03926">
        <w:rPr>
          <w:rFonts w:ascii="Times New Roman" w:hAnsi="Times New Roman" w:cs="Times New Roman"/>
          <w:sz w:val="24"/>
          <w:szCs w:val="24"/>
        </w:rPr>
        <w:t xml:space="preserve"> in </w:t>
      </w:r>
      <w:r w:rsidR="00534996">
        <w:rPr>
          <w:rFonts w:ascii="Times New Roman" w:hAnsi="Times New Roman" w:cs="Times New Roman"/>
          <w:sz w:val="24"/>
          <w:szCs w:val="24"/>
        </w:rPr>
        <w:t xml:space="preserve">the </w:t>
      </w:r>
      <w:r w:rsidRPr="00F03926">
        <w:rPr>
          <w:rFonts w:ascii="Times New Roman" w:hAnsi="Times New Roman" w:cs="Times New Roman"/>
          <w:sz w:val="24"/>
          <w:szCs w:val="24"/>
        </w:rPr>
        <w:t>EALD</w:t>
      </w:r>
      <w:r w:rsidR="007749F3">
        <w:rPr>
          <w:rFonts w:ascii="Times New Roman" w:hAnsi="Times New Roman" w:cs="Times New Roman"/>
          <w:sz w:val="24"/>
          <w:szCs w:val="24"/>
        </w:rPr>
        <w:t xml:space="preserve"> and</w:t>
      </w:r>
      <w:r w:rsidRPr="00F03926">
        <w:rPr>
          <w:rFonts w:ascii="Times New Roman" w:hAnsi="Times New Roman" w:cs="Times New Roman"/>
          <w:sz w:val="24"/>
          <w:szCs w:val="24"/>
        </w:rPr>
        <w:t xml:space="preserve"> </w:t>
      </w:r>
      <w:r w:rsidR="00534996">
        <w:rPr>
          <w:rFonts w:ascii="Times New Roman" w:hAnsi="Times New Roman" w:cs="Times New Roman"/>
          <w:sz w:val="24"/>
          <w:szCs w:val="24"/>
        </w:rPr>
        <w:t>the n</w:t>
      </w:r>
      <w:r w:rsidRPr="00F03926">
        <w:rPr>
          <w:rFonts w:ascii="Times New Roman" w:hAnsi="Times New Roman" w:cs="Times New Roman"/>
          <w:sz w:val="24"/>
          <w:szCs w:val="24"/>
        </w:rPr>
        <w:t xml:space="preserve">ew First Nations </w:t>
      </w:r>
      <w:r w:rsidR="00400542">
        <w:rPr>
          <w:rFonts w:ascii="Times New Roman" w:hAnsi="Times New Roman" w:cs="Times New Roman"/>
          <w:sz w:val="24"/>
          <w:szCs w:val="24"/>
        </w:rPr>
        <w:t xml:space="preserve">policy </w:t>
      </w:r>
      <w:r w:rsidRPr="00F03926">
        <w:rPr>
          <w:rFonts w:ascii="Times New Roman" w:hAnsi="Times New Roman" w:cs="Times New Roman"/>
          <w:sz w:val="24"/>
          <w:szCs w:val="24"/>
        </w:rPr>
        <w:t xml:space="preserve">space. </w:t>
      </w:r>
    </w:p>
    <w:p w14:paraId="790CD9B6" w14:textId="64AFD183" w:rsidR="001A09BB" w:rsidRDefault="00BE1ADB" w:rsidP="001A09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1986 until 1997, the</w:t>
      </w:r>
      <w:r w:rsidR="00534996">
        <w:rPr>
          <w:rFonts w:ascii="Times New Roman" w:hAnsi="Times New Roman" w:cs="Times New Roman"/>
          <w:sz w:val="24"/>
          <w:szCs w:val="24"/>
        </w:rPr>
        <w:t xml:space="preserve"> Commonwealth</w:t>
      </w:r>
      <w:r w:rsidR="00534996" w:rsidRPr="00BC4907">
        <w:rPr>
          <w:rFonts w:ascii="Times New Roman" w:hAnsi="Times New Roman" w:cs="Times New Roman"/>
          <w:sz w:val="24"/>
          <w:szCs w:val="24"/>
        </w:rPr>
        <w:t xml:space="preserve"> Department of Education</w:t>
      </w:r>
      <w:r>
        <w:rPr>
          <w:rFonts w:ascii="Times New Roman" w:hAnsi="Times New Roman" w:cs="Times New Roman"/>
          <w:sz w:val="24"/>
          <w:szCs w:val="24"/>
        </w:rPr>
        <w:t xml:space="preserve"> administered the New Arrivals and General Support components of a national E</w:t>
      </w:r>
      <w:r w:rsidR="001B3FCA">
        <w:rPr>
          <w:rFonts w:ascii="Times New Roman" w:hAnsi="Times New Roman" w:cs="Times New Roman"/>
          <w:sz w:val="24"/>
          <w:szCs w:val="24"/>
        </w:rPr>
        <w:t>nglish as a Second 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CA">
        <w:rPr>
          <w:rFonts w:ascii="Times New Roman" w:hAnsi="Times New Roman" w:cs="Times New Roman"/>
          <w:sz w:val="24"/>
          <w:szCs w:val="24"/>
        </w:rPr>
        <w:t xml:space="preserve">(ESL) </w:t>
      </w:r>
      <w:r>
        <w:rPr>
          <w:rFonts w:ascii="Times New Roman" w:hAnsi="Times New Roman" w:cs="Times New Roman"/>
          <w:sz w:val="24"/>
          <w:szCs w:val="24"/>
        </w:rPr>
        <w:t xml:space="preserve">Program. In 1997, the General Support component became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broadbanded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literacy program. In 2008, the ESL New Arrivals Program was disbanded and responsibility for English tuition for newly arrived students was</w:t>
      </w:r>
      <w:r w:rsidR="001B3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devolved to state and territory education systems. Since then,</w:t>
      </w:r>
      <w:r w:rsidR="00901850">
        <w:rPr>
          <w:rFonts w:ascii="Times New Roman" w:hAnsi="Times New Roman" w:cs="Times New Roman"/>
          <w:sz w:val="24"/>
          <w:szCs w:val="24"/>
        </w:rPr>
        <w:t xml:space="preserve"> the Commonwealth Government has played no role in </w:t>
      </w:r>
      <w:r w:rsidR="001B3FCA" w:rsidRPr="00010ECC">
        <w:rPr>
          <w:rFonts w:ascii="Times New Roman" w:hAnsi="Times New Roman" w:cs="Times New Roman"/>
          <w:sz w:val="24"/>
          <w:szCs w:val="24"/>
        </w:rPr>
        <w:t xml:space="preserve">Australia’s front-line </w:t>
      </w:r>
      <w:r w:rsidR="001B3FCA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1B3FCA" w:rsidRPr="00010ECC">
        <w:rPr>
          <w:rFonts w:ascii="Times New Roman" w:hAnsi="Times New Roman" w:cs="Times New Roman"/>
          <w:sz w:val="24"/>
          <w:szCs w:val="24"/>
        </w:rPr>
        <w:t>response to the immediate and longer-term English learning needs of migrant and refugee students</w:t>
      </w:r>
      <w:r w:rsidR="001B3FCA">
        <w:rPr>
          <w:rFonts w:ascii="Times New Roman" w:hAnsi="Times New Roman" w:cs="Times New Roman"/>
          <w:sz w:val="24"/>
          <w:szCs w:val="24"/>
        </w:rPr>
        <w:t xml:space="preserve"> in </w:t>
      </w:r>
      <w:r w:rsidR="00901850">
        <w:rPr>
          <w:rFonts w:ascii="Times New Roman" w:hAnsi="Times New Roman" w:cs="Times New Roman"/>
          <w:sz w:val="24"/>
          <w:szCs w:val="24"/>
        </w:rPr>
        <w:t>schools</w:t>
      </w:r>
      <w:r w:rsidR="00400542">
        <w:rPr>
          <w:rFonts w:ascii="Times New Roman" w:hAnsi="Times New Roman" w:cs="Times New Roman"/>
          <w:sz w:val="24"/>
          <w:szCs w:val="24"/>
        </w:rPr>
        <w:t xml:space="preserve">. Over this period, </w:t>
      </w:r>
      <w:r w:rsidR="00901850">
        <w:rPr>
          <w:rFonts w:ascii="Times New Roman" w:hAnsi="Times New Roman" w:cs="Times New Roman"/>
          <w:sz w:val="24"/>
          <w:szCs w:val="24"/>
        </w:rPr>
        <w:t xml:space="preserve">EAL/D programs in </w:t>
      </w:r>
      <w:r w:rsidR="00400542">
        <w:rPr>
          <w:rFonts w:ascii="Times New Roman" w:hAnsi="Times New Roman" w:cs="Times New Roman"/>
          <w:sz w:val="24"/>
          <w:szCs w:val="24"/>
        </w:rPr>
        <w:t xml:space="preserve">Australian </w:t>
      </w:r>
      <w:r w:rsidR="00901850">
        <w:rPr>
          <w:rFonts w:ascii="Times New Roman" w:hAnsi="Times New Roman" w:cs="Times New Roman"/>
          <w:sz w:val="24"/>
          <w:szCs w:val="24"/>
        </w:rPr>
        <w:t>schools have</w:t>
      </w:r>
      <w:r w:rsidR="00CF14C4">
        <w:rPr>
          <w:rFonts w:ascii="Times New Roman" w:hAnsi="Times New Roman" w:cs="Times New Roman"/>
          <w:sz w:val="24"/>
          <w:szCs w:val="24"/>
        </w:rPr>
        <w:t xml:space="preserve"> disintegrated under flexible needs-based funding </w:t>
      </w:r>
      <w:r w:rsidR="00886F44">
        <w:rPr>
          <w:rFonts w:ascii="Times New Roman" w:hAnsi="Times New Roman" w:cs="Times New Roman"/>
          <w:sz w:val="24"/>
          <w:szCs w:val="24"/>
        </w:rPr>
        <w:t>via</w:t>
      </w:r>
      <w:r w:rsidR="008D3B8F">
        <w:rPr>
          <w:rFonts w:ascii="Times New Roman" w:hAnsi="Times New Roman" w:cs="Times New Roman"/>
          <w:sz w:val="24"/>
          <w:szCs w:val="24"/>
        </w:rPr>
        <w:t xml:space="preserve"> </w:t>
      </w:r>
      <w:r w:rsidR="008D3B8F" w:rsidRPr="008D3B8F">
        <w:rPr>
          <w:rFonts w:ascii="Times New Roman" w:hAnsi="Times New Roman" w:cs="Times New Roman"/>
          <w:bCs/>
          <w:sz w:val="24"/>
          <w:szCs w:val="24"/>
        </w:rPr>
        <w:t>one-line global budgets</w:t>
      </w:r>
      <w:r w:rsidR="008D3B8F">
        <w:rPr>
          <w:rFonts w:ascii="Times New Roman" w:hAnsi="Times New Roman" w:cs="Times New Roman"/>
          <w:bCs/>
          <w:sz w:val="24"/>
          <w:szCs w:val="24"/>
        </w:rPr>
        <w:t xml:space="preserve"> within</w:t>
      </w:r>
      <w:r w:rsidR="008D3B8F" w:rsidRPr="008D3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4C4">
        <w:rPr>
          <w:rFonts w:ascii="Times New Roman" w:hAnsi="Times New Roman" w:cs="Times New Roman"/>
          <w:sz w:val="24"/>
          <w:szCs w:val="24"/>
        </w:rPr>
        <w:t>state and territory school autonomy programs.</w:t>
      </w:r>
      <w:r w:rsidR="00CF14C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A94BCB6" w14:textId="106B2582" w:rsidR="000A0FC9" w:rsidRDefault="001A09BB" w:rsidP="000A0FC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to this widespread </w:t>
      </w:r>
      <w:r w:rsidR="009254C1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disintegration, </w:t>
      </w:r>
      <w:r w:rsidR="00CE63A1">
        <w:rPr>
          <w:rFonts w:ascii="Times New Roman" w:hAnsi="Times New Roman" w:cs="Times New Roman"/>
          <w:sz w:val="24"/>
          <w:szCs w:val="24"/>
        </w:rPr>
        <w:t xml:space="preserve">ACTA </w:t>
      </w:r>
      <w:r>
        <w:rPr>
          <w:rFonts w:ascii="Times New Roman" w:hAnsi="Times New Roman" w:cs="Times New Roman"/>
          <w:sz w:val="24"/>
          <w:szCs w:val="24"/>
        </w:rPr>
        <w:t xml:space="preserve">issued </w:t>
      </w:r>
      <w:r w:rsidR="00770130">
        <w:rPr>
          <w:rFonts w:ascii="Times New Roman" w:hAnsi="Times New Roman" w:cs="Times New Roman"/>
          <w:sz w:val="24"/>
          <w:szCs w:val="24"/>
        </w:rPr>
        <w:t xml:space="preserve">a </w:t>
      </w:r>
      <w:r w:rsidR="00770130" w:rsidRPr="001A09BB">
        <w:rPr>
          <w:rFonts w:ascii="Times New Roman" w:hAnsi="Times New Roman" w:cs="Times New Roman"/>
          <w:i/>
          <w:iCs/>
          <w:sz w:val="24"/>
          <w:szCs w:val="24"/>
          <w:lang w:val="en-US"/>
        </w:rPr>
        <w:t>National Roadmap for EAL/D Education in Schools</w:t>
      </w:r>
      <w:r w:rsidR="004240CD" w:rsidRPr="004240CD">
        <w:rPr>
          <w:rFonts w:ascii="Times New Roman" w:hAnsi="Times New Roman" w:cs="Times New Roman"/>
          <w:sz w:val="24"/>
          <w:szCs w:val="24"/>
        </w:rPr>
        <w:t xml:space="preserve"> </w:t>
      </w:r>
      <w:r w:rsidR="004240CD">
        <w:rPr>
          <w:rFonts w:ascii="Times New Roman" w:hAnsi="Times New Roman" w:cs="Times New Roman"/>
          <w:sz w:val="24"/>
          <w:szCs w:val="24"/>
        </w:rPr>
        <w:t>in 2022</w:t>
      </w:r>
      <w:r w:rsidR="004240C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4240CD" w:rsidRPr="004240C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4240CD" w:rsidRPr="004240CD">
        <w:rPr>
          <w:rFonts w:ascii="Times New Roman" w:hAnsi="Times New Roman" w:cs="Times New Roman"/>
          <w:sz w:val="24"/>
          <w:szCs w:val="24"/>
          <w:lang w:val="en-US"/>
        </w:rPr>
        <w:t>Roadmap</w:t>
      </w:r>
      <w:proofErr w:type="gramEnd"/>
      <w:r w:rsidR="00770130" w:rsidRPr="001A0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40CD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770130" w:rsidRPr="001A09BB">
        <w:rPr>
          <w:rFonts w:ascii="Times New Roman" w:hAnsi="Times New Roman" w:cs="Times New Roman"/>
          <w:sz w:val="24"/>
          <w:szCs w:val="24"/>
          <w:lang w:val="en-US"/>
        </w:rPr>
        <w:t xml:space="preserve">a national </w:t>
      </w:r>
      <w:r w:rsidR="00A055EB">
        <w:rPr>
          <w:rFonts w:ascii="Times New Roman" w:hAnsi="Times New Roman" w:cs="Times New Roman"/>
          <w:sz w:val="24"/>
          <w:szCs w:val="24"/>
          <w:lang w:val="en-US"/>
        </w:rPr>
        <w:t>‘re</w:t>
      </w:r>
      <w:r w:rsidR="00A055EB" w:rsidRPr="001A09BB">
        <w:rPr>
          <w:rFonts w:ascii="Times New Roman" w:hAnsi="Times New Roman" w:cs="Times New Roman"/>
          <w:sz w:val="24"/>
          <w:szCs w:val="24"/>
          <w:lang w:val="en-US"/>
        </w:rPr>
        <w:t>build</w:t>
      </w:r>
      <w:r w:rsidR="00A055EB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A055EB" w:rsidRPr="001A09BB">
        <w:rPr>
          <w:rFonts w:ascii="Times New Roman" w:hAnsi="Times New Roman" w:cs="Times New Roman"/>
          <w:sz w:val="24"/>
          <w:szCs w:val="24"/>
          <w:lang w:val="en-US"/>
        </w:rPr>
        <w:t xml:space="preserve">’ reform </w:t>
      </w:r>
      <w:r w:rsidR="00A055EB">
        <w:rPr>
          <w:rFonts w:ascii="Times New Roman" w:hAnsi="Times New Roman" w:cs="Times New Roman"/>
          <w:sz w:val="24"/>
          <w:szCs w:val="24"/>
          <w:lang w:val="en-US"/>
        </w:rPr>
        <w:t xml:space="preserve">plan </w:t>
      </w:r>
      <w:r w:rsidR="00F52132">
        <w:rPr>
          <w:rFonts w:ascii="Times New Roman" w:hAnsi="Times New Roman" w:cs="Times New Roman"/>
          <w:sz w:val="24"/>
          <w:szCs w:val="24"/>
          <w:lang w:val="en-US"/>
        </w:rPr>
        <w:t xml:space="preserve">identifying </w:t>
      </w:r>
      <w:r w:rsidR="00770130" w:rsidRPr="001A09BB">
        <w:rPr>
          <w:rFonts w:ascii="Times New Roman" w:hAnsi="Times New Roman" w:cs="Times New Roman"/>
          <w:sz w:val="24"/>
          <w:szCs w:val="24"/>
          <w:lang w:val="en-US"/>
        </w:rPr>
        <w:t xml:space="preserve">twelve </w:t>
      </w:r>
      <w:r w:rsidR="00F52132">
        <w:rPr>
          <w:rFonts w:ascii="Times New Roman" w:hAnsi="Times New Roman" w:cs="Times New Roman"/>
          <w:sz w:val="24"/>
          <w:szCs w:val="24"/>
          <w:lang w:val="en-US"/>
        </w:rPr>
        <w:t>strategic</w:t>
      </w:r>
      <w:r w:rsidR="00770130" w:rsidRPr="001A0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01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0130" w:rsidRPr="001A09BB">
        <w:rPr>
          <w:rFonts w:ascii="Times New Roman" w:hAnsi="Times New Roman" w:cs="Times New Roman"/>
          <w:sz w:val="24"/>
          <w:szCs w:val="24"/>
          <w:lang w:val="en-US"/>
        </w:rPr>
        <w:t xml:space="preserve">ctions </w:t>
      </w:r>
      <w:r w:rsidR="00F5213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70130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F52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5EB">
        <w:rPr>
          <w:rFonts w:ascii="Times New Roman" w:hAnsi="Times New Roman" w:cs="Times New Roman"/>
          <w:sz w:val="24"/>
          <w:szCs w:val="24"/>
          <w:lang w:val="en-US"/>
        </w:rPr>
        <w:t xml:space="preserve">key </w:t>
      </w:r>
      <w:r w:rsidR="00C64B03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r w:rsidR="00770130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BB55D8"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="00F52132">
        <w:rPr>
          <w:rFonts w:ascii="Times New Roman" w:hAnsi="Times New Roman" w:cs="Times New Roman"/>
          <w:sz w:val="24"/>
          <w:szCs w:val="24"/>
          <w:lang w:val="en-US"/>
        </w:rPr>
        <w:t xml:space="preserve"> impacting all</w:t>
      </w:r>
      <w:r w:rsidR="00F52132" w:rsidRPr="00F521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132">
        <w:rPr>
          <w:rFonts w:ascii="Times New Roman" w:hAnsi="Times New Roman" w:cs="Times New Roman"/>
          <w:sz w:val="24"/>
          <w:szCs w:val="24"/>
          <w:lang w:val="en-US"/>
        </w:rPr>
        <w:t>aspects of EAL/D education</w:t>
      </w:r>
      <w:r w:rsidR="00770130">
        <w:rPr>
          <w:rFonts w:ascii="Times New Roman" w:hAnsi="Times New Roman" w:cs="Times New Roman"/>
          <w:sz w:val="24"/>
          <w:szCs w:val="24"/>
          <w:lang w:val="en-US"/>
        </w:rPr>
        <w:t>, aligned with</w:t>
      </w:r>
      <w:r w:rsidR="00770130" w:rsidRPr="001A09BB">
        <w:rPr>
          <w:rFonts w:ascii="Times New Roman" w:hAnsi="Times New Roman" w:cs="Times New Roman"/>
          <w:sz w:val="24"/>
          <w:szCs w:val="24"/>
          <w:lang w:val="en-US"/>
        </w:rPr>
        <w:t xml:space="preserve"> the Reform Directions and National Policy Initiatives in </w:t>
      </w:r>
      <w:r w:rsidR="00770130" w:rsidRPr="001A09BB">
        <w:rPr>
          <w:rFonts w:ascii="Times New Roman" w:hAnsi="Times New Roman" w:cs="Times New Roman"/>
          <w:i/>
          <w:iCs/>
          <w:sz w:val="24"/>
          <w:szCs w:val="24"/>
          <w:lang w:val="en-US"/>
        </w:rPr>
        <w:t>National Schools Reform Agreement.</w:t>
      </w:r>
      <w:r w:rsidR="00A055EB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en-US"/>
        </w:rPr>
        <w:footnoteReference w:id="2"/>
      </w:r>
      <w:r w:rsidR="00A055E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055EB" w:rsidRPr="00A055E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055EB">
        <w:rPr>
          <w:rFonts w:ascii="Times New Roman" w:hAnsi="Times New Roman" w:cs="Times New Roman"/>
          <w:sz w:val="24"/>
          <w:szCs w:val="24"/>
          <w:lang w:val="en-US"/>
        </w:rPr>
        <w:t xml:space="preserve"> issues identified in the </w:t>
      </w:r>
      <w:r w:rsidR="00A055EB" w:rsidRPr="00A055EB">
        <w:rPr>
          <w:rFonts w:ascii="Times New Roman" w:hAnsi="Times New Roman" w:cs="Times New Roman"/>
          <w:i/>
          <w:iCs/>
          <w:sz w:val="24"/>
          <w:szCs w:val="24"/>
          <w:lang w:val="en-US"/>
        </w:rPr>
        <w:t>Roadmap</w:t>
      </w:r>
      <w:r w:rsidR="00A055EB">
        <w:rPr>
          <w:rFonts w:ascii="Times New Roman" w:hAnsi="Times New Roman" w:cs="Times New Roman"/>
          <w:sz w:val="24"/>
          <w:szCs w:val="24"/>
          <w:lang w:val="en-US"/>
        </w:rPr>
        <w:t xml:space="preserve"> remain unresolved and the actions addressing them are still relevant. </w:t>
      </w:r>
    </w:p>
    <w:p w14:paraId="76AEE648" w14:textId="2C760D0B" w:rsidR="00AB2512" w:rsidRDefault="005B3021" w:rsidP="00AB251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meeting, </w:t>
      </w:r>
      <w:r w:rsidR="00A055EB">
        <w:rPr>
          <w:rFonts w:ascii="Times New Roman" w:hAnsi="Times New Roman" w:cs="Times New Roman"/>
          <w:sz w:val="24"/>
          <w:szCs w:val="24"/>
        </w:rPr>
        <w:t>Reform Taskforce officials indicated that there was addit</w:t>
      </w:r>
      <w:r w:rsidR="007B6E4A">
        <w:rPr>
          <w:rFonts w:ascii="Times New Roman" w:hAnsi="Times New Roman" w:cs="Times New Roman"/>
          <w:sz w:val="24"/>
          <w:szCs w:val="24"/>
        </w:rPr>
        <w:t>i</w:t>
      </w:r>
      <w:r w:rsidR="00A055EB">
        <w:rPr>
          <w:rFonts w:ascii="Times New Roman" w:hAnsi="Times New Roman" w:cs="Times New Roman"/>
          <w:sz w:val="24"/>
          <w:szCs w:val="24"/>
        </w:rPr>
        <w:t>onal s</w:t>
      </w:r>
      <w:r w:rsidR="00CF14C4">
        <w:rPr>
          <w:rFonts w:ascii="Times New Roman" w:hAnsi="Times New Roman" w:cs="Times New Roman"/>
          <w:sz w:val="24"/>
          <w:szCs w:val="24"/>
        </w:rPr>
        <w:t xml:space="preserve">cope for Commonwealth action and national leadership </w:t>
      </w:r>
      <w:r w:rsidR="00A055EB">
        <w:rPr>
          <w:rFonts w:ascii="Times New Roman" w:hAnsi="Times New Roman" w:cs="Times New Roman"/>
          <w:sz w:val="24"/>
          <w:szCs w:val="24"/>
        </w:rPr>
        <w:t xml:space="preserve">in EAL/D education </w:t>
      </w:r>
      <w:r w:rsidR="00CF14C4">
        <w:rPr>
          <w:rFonts w:ascii="Times New Roman" w:hAnsi="Times New Roman" w:cs="Times New Roman"/>
          <w:sz w:val="24"/>
          <w:szCs w:val="24"/>
        </w:rPr>
        <w:t>outside the agreements</w:t>
      </w:r>
      <w:r w:rsidR="00A055EB">
        <w:rPr>
          <w:rFonts w:ascii="Times New Roman" w:hAnsi="Times New Roman" w:cs="Times New Roman"/>
          <w:sz w:val="24"/>
          <w:szCs w:val="24"/>
        </w:rPr>
        <w:t xml:space="preserve">, particularly in </w:t>
      </w:r>
      <w:r w:rsidR="007B6E4A">
        <w:rPr>
          <w:rFonts w:ascii="Times New Roman" w:hAnsi="Times New Roman" w:cs="Times New Roman"/>
          <w:sz w:val="24"/>
          <w:szCs w:val="24"/>
        </w:rPr>
        <w:t xml:space="preserve">relation to </w:t>
      </w:r>
      <w:r w:rsidR="00A055EB">
        <w:rPr>
          <w:rFonts w:ascii="Times New Roman" w:hAnsi="Times New Roman" w:cs="Times New Roman"/>
          <w:sz w:val="24"/>
          <w:szCs w:val="24"/>
        </w:rPr>
        <w:t xml:space="preserve">funding </w:t>
      </w:r>
      <w:r>
        <w:rPr>
          <w:rFonts w:ascii="Times New Roman" w:hAnsi="Times New Roman" w:cs="Times New Roman"/>
          <w:sz w:val="24"/>
          <w:szCs w:val="24"/>
        </w:rPr>
        <w:t>initiatives</w:t>
      </w:r>
      <w:r w:rsidR="00A055EB">
        <w:rPr>
          <w:rFonts w:ascii="Times New Roman" w:hAnsi="Times New Roman" w:cs="Times New Roman"/>
          <w:sz w:val="24"/>
          <w:szCs w:val="24"/>
        </w:rPr>
        <w:t xml:space="preserve"> and</w:t>
      </w:r>
      <w:r w:rsidR="00A055EB" w:rsidRPr="00A055EB">
        <w:rPr>
          <w:rFonts w:ascii="Times New Roman" w:hAnsi="Times New Roman" w:cs="Times New Roman"/>
          <w:sz w:val="24"/>
          <w:szCs w:val="24"/>
        </w:rPr>
        <w:t xml:space="preserve"> data transparency and accountability</w:t>
      </w:r>
      <w:r w:rsidR="007B6E4A">
        <w:rPr>
          <w:rFonts w:ascii="Times New Roman" w:hAnsi="Times New Roman" w:cs="Times New Roman"/>
          <w:sz w:val="24"/>
          <w:szCs w:val="24"/>
        </w:rPr>
        <w:t xml:space="preserve">. </w:t>
      </w:r>
      <w:r w:rsidR="00886F44">
        <w:rPr>
          <w:rFonts w:ascii="Times New Roman" w:hAnsi="Times New Roman" w:cs="Times New Roman"/>
          <w:sz w:val="24"/>
          <w:szCs w:val="24"/>
        </w:rPr>
        <w:t>It was noted that t</w:t>
      </w:r>
      <w:r w:rsidR="007B6E4A" w:rsidRPr="007B6E4A">
        <w:rPr>
          <w:rFonts w:ascii="Times New Roman" w:hAnsi="Times New Roman" w:cs="Times New Roman"/>
          <w:sz w:val="24"/>
          <w:szCs w:val="24"/>
        </w:rPr>
        <w:t xml:space="preserve">he Minister </w:t>
      </w:r>
      <w:r w:rsidR="007B6E4A">
        <w:rPr>
          <w:rFonts w:ascii="Times New Roman" w:hAnsi="Times New Roman" w:cs="Times New Roman"/>
          <w:sz w:val="24"/>
          <w:szCs w:val="24"/>
        </w:rPr>
        <w:t>was keen to pursue</w:t>
      </w:r>
      <w:r w:rsidR="007B6E4A" w:rsidRPr="007B6E4A">
        <w:rPr>
          <w:rFonts w:ascii="Times New Roman" w:hAnsi="Times New Roman" w:cs="Times New Roman"/>
          <w:sz w:val="24"/>
          <w:szCs w:val="24"/>
        </w:rPr>
        <w:t xml:space="preserve"> greater transparency around </w:t>
      </w:r>
      <w:r w:rsidR="007B6E4A">
        <w:rPr>
          <w:rFonts w:ascii="Times New Roman" w:hAnsi="Times New Roman" w:cs="Times New Roman"/>
          <w:sz w:val="24"/>
          <w:szCs w:val="24"/>
        </w:rPr>
        <w:t xml:space="preserve">both </w:t>
      </w:r>
      <w:r w:rsidR="007B6E4A" w:rsidRPr="007B6E4A">
        <w:rPr>
          <w:rFonts w:ascii="Times New Roman" w:hAnsi="Times New Roman" w:cs="Times New Roman"/>
          <w:sz w:val="24"/>
          <w:szCs w:val="24"/>
        </w:rPr>
        <w:t xml:space="preserve">allocations </w:t>
      </w:r>
      <w:r w:rsidR="007B6E4A">
        <w:rPr>
          <w:rFonts w:ascii="Times New Roman" w:hAnsi="Times New Roman" w:cs="Times New Roman"/>
          <w:sz w:val="24"/>
          <w:szCs w:val="24"/>
        </w:rPr>
        <w:t xml:space="preserve">and </w:t>
      </w:r>
      <w:r w:rsidR="007B6E4A" w:rsidRPr="007B6E4A">
        <w:rPr>
          <w:rFonts w:ascii="Times New Roman" w:hAnsi="Times New Roman" w:cs="Times New Roman"/>
          <w:sz w:val="24"/>
          <w:szCs w:val="24"/>
        </w:rPr>
        <w:t xml:space="preserve">expenditure, </w:t>
      </w:r>
      <w:r w:rsidR="007B6E4A">
        <w:rPr>
          <w:rFonts w:ascii="Times New Roman" w:hAnsi="Times New Roman" w:cs="Times New Roman"/>
          <w:sz w:val="24"/>
          <w:szCs w:val="24"/>
        </w:rPr>
        <w:t>both</w:t>
      </w:r>
      <w:r w:rsidR="007B6E4A" w:rsidRPr="007B6E4A">
        <w:rPr>
          <w:rFonts w:ascii="Times New Roman" w:hAnsi="Times New Roman" w:cs="Times New Roman"/>
          <w:sz w:val="24"/>
          <w:szCs w:val="24"/>
        </w:rPr>
        <w:t xml:space="preserve"> within </w:t>
      </w:r>
      <w:r w:rsidR="007B6E4A">
        <w:rPr>
          <w:rFonts w:ascii="Times New Roman" w:hAnsi="Times New Roman" w:cs="Times New Roman"/>
          <w:sz w:val="24"/>
          <w:szCs w:val="24"/>
        </w:rPr>
        <w:t>and</w:t>
      </w:r>
      <w:r w:rsidR="007B6E4A" w:rsidRPr="007B6E4A">
        <w:rPr>
          <w:rFonts w:ascii="Times New Roman" w:hAnsi="Times New Roman" w:cs="Times New Roman"/>
          <w:sz w:val="24"/>
          <w:szCs w:val="24"/>
        </w:rPr>
        <w:t xml:space="preserve"> outside the agreement</w:t>
      </w:r>
      <w:r w:rsidR="00886F44">
        <w:rPr>
          <w:rFonts w:ascii="Times New Roman" w:hAnsi="Times New Roman" w:cs="Times New Roman"/>
          <w:sz w:val="24"/>
          <w:szCs w:val="24"/>
        </w:rPr>
        <w:t>,</w:t>
      </w:r>
      <w:r w:rsidR="0007691D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7B6E4A" w:rsidRPr="007B6E4A">
        <w:rPr>
          <w:rFonts w:ascii="Times New Roman" w:hAnsi="Times New Roman" w:cs="Times New Roman"/>
          <w:sz w:val="24"/>
          <w:szCs w:val="24"/>
        </w:rPr>
        <w:t xml:space="preserve"> First nations stakeholder accountability. </w:t>
      </w:r>
      <w:r w:rsidR="00C64B03">
        <w:rPr>
          <w:rFonts w:ascii="Times New Roman" w:hAnsi="Times New Roman" w:cs="Times New Roman"/>
          <w:sz w:val="24"/>
          <w:szCs w:val="24"/>
        </w:rPr>
        <w:t xml:space="preserve">In this context, ACTA </w:t>
      </w:r>
      <w:r w:rsidR="000C1474">
        <w:rPr>
          <w:rFonts w:ascii="Times New Roman" w:hAnsi="Times New Roman" w:cs="Times New Roman"/>
          <w:sz w:val="24"/>
          <w:szCs w:val="24"/>
        </w:rPr>
        <w:t>submits this</w:t>
      </w:r>
      <w:r w:rsidR="00AE6450">
        <w:rPr>
          <w:rFonts w:ascii="Times New Roman" w:hAnsi="Times New Roman" w:cs="Times New Roman"/>
          <w:sz w:val="24"/>
          <w:szCs w:val="24"/>
        </w:rPr>
        <w:t xml:space="preserve"> </w:t>
      </w:r>
      <w:r w:rsidR="00C64B03">
        <w:rPr>
          <w:rFonts w:ascii="Times New Roman" w:hAnsi="Times New Roman" w:cs="Times New Roman"/>
          <w:sz w:val="24"/>
          <w:szCs w:val="24"/>
        </w:rPr>
        <w:t xml:space="preserve">proposal </w:t>
      </w:r>
      <w:r w:rsidR="000C1474">
        <w:rPr>
          <w:rFonts w:ascii="Times New Roman" w:hAnsi="Times New Roman" w:cs="Times New Roman"/>
          <w:sz w:val="24"/>
          <w:szCs w:val="24"/>
        </w:rPr>
        <w:t xml:space="preserve">for discussion with the new Director and the Minister’s consideration. </w:t>
      </w:r>
    </w:p>
    <w:p w14:paraId="67152DB9" w14:textId="77777777" w:rsidR="0007691D" w:rsidRPr="00D616B7" w:rsidRDefault="0007691D" w:rsidP="0007691D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D616B7">
        <w:rPr>
          <w:rFonts w:ascii="Arial" w:hAnsi="Arial" w:cs="Arial"/>
          <w:b/>
          <w:bCs/>
          <w:sz w:val="24"/>
          <w:szCs w:val="24"/>
        </w:rPr>
        <w:t>PROPOSAL:</w:t>
      </w:r>
    </w:p>
    <w:p w14:paraId="58EB4A84" w14:textId="6499ABA5" w:rsidR="006824AE" w:rsidRDefault="00AB2512" w:rsidP="00E14C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691D">
        <w:rPr>
          <w:rFonts w:ascii="Times New Roman" w:hAnsi="Times New Roman" w:cs="Times New Roman"/>
          <w:sz w:val="24"/>
          <w:szCs w:val="24"/>
        </w:rPr>
        <w:t>ACTA</w:t>
      </w:r>
      <w:r>
        <w:rPr>
          <w:rFonts w:ascii="Times New Roman" w:hAnsi="Times New Roman" w:cs="Times New Roman"/>
          <w:sz w:val="24"/>
          <w:szCs w:val="24"/>
        </w:rPr>
        <w:t xml:space="preserve"> welcomes the reestablishment of an EAL/D education </w:t>
      </w:r>
      <w:r w:rsidR="00C202B2">
        <w:rPr>
          <w:rFonts w:ascii="Times New Roman" w:hAnsi="Times New Roman" w:cs="Times New Roman"/>
          <w:sz w:val="24"/>
          <w:szCs w:val="24"/>
        </w:rPr>
        <w:t>administrative role</w:t>
      </w:r>
      <w:r>
        <w:rPr>
          <w:rFonts w:ascii="Times New Roman" w:hAnsi="Times New Roman" w:cs="Times New Roman"/>
          <w:sz w:val="24"/>
          <w:szCs w:val="24"/>
        </w:rPr>
        <w:t xml:space="preserve"> within the Commonwealth</w:t>
      </w:r>
      <w:r w:rsidRPr="00BC4907">
        <w:rPr>
          <w:rFonts w:ascii="Times New Roman" w:hAnsi="Times New Roman" w:cs="Times New Roman"/>
          <w:sz w:val="24"/>
          <w:szCs w:val="24"/>
        </w:rPr>
        <w:t xml:space="preserve"> Department of Education</w:t>
      </w:r>
      <w:r>
        <w:rPr>
          <w:rFonts w:ascii="Times New Roman" w:hAnsi="Times New Roman" w:cs="Times New Roman"/>
          <w:sz w:val="24"/>
          <w:szCs w:val="24"/>
        </w:rPr>
        <w:t xml:space="preserve"> but believes that </w:t>
      </w:r>
      <w:r w:rsidR="006824AE">
        <w:rPr>
          <w:rFonts w:ascii="Times New Roman" w:hAnsi="Times New Roman" w:cs="Times New Roman"/>
          <w:sz w:val="24"/>
          <w:szCs w:val="24"/>
        </w:rPr>
        <w:t xml:space="preserve">the nature and scale of the work </w:t>
      </w:r>
      <w:r w:rsidR="00C64B03">
        <w:rPr>
          <w:rFonts w:ascii="Times New Roman" w:hAnsi="Times New Roman" w:cs="Times New Roman"/>
          <w:sz w:val="24"/>
          <w:szCs w:val="24"/>
        </w:rPr>
        <w:t>required for</w:t>
      </w:r>
      <w:r w:rsidR="006824AE">
        <w:rPr>
          <w:rFonts w:ascii="Times New Roman" w:hAnsi="Times New Roman" w:cs="Times New Roman"/>
          <w:sz w:val="24"/>
          <w:szCs w:val="24"/>
        </w:rPr>
        <w:t xml:space="preserve"> </w:t>
      </w:r>
      <w:r w:rsidR="009254C1">
        <w:rPr>
          <w:rFonts w:ascii="Times New Roman" w:hAnsi="Times New Roman" w:cs="Times New Roman"/>
          <w:sz w:val="24"/>
          <w:szCs w:val="24"/>
        </w:rPr>
        <w:t xml:space="preserve">any </w:t>
      </w:r>
      <w:r w:rsidR="00E61889">
        <w:rPr>
          <w:rFonts w:ascii="Times New Roman" w:hAnsi="Times New Roman" w:cs="Times New Roman"/>
          <w:sz w:val="24"/>
          <w:szCs w:val="24"/>
        </w:rPr>
        <w:t xml:space="preserve">essential </w:t>
      </w:r>
      <w:r w:rsidR="00C64B03">
        <w:rPr>
          <w:rFonts w:ascii="Times New Roman" w:hAnsi="Times New Roman" w:cs="Times New Roman"/>
          <w:sz w:val="24"/>
          <w:szCs w:val="24"/>
        </w:rPr>
        <w:t xml:space="preserve">national reform of </w:t>
      </w:r>
      <w:r w:rsidR="00C64B03" w:rsidRPr="0007691D">
        <w:rPr>
          <w:rFonts w:ascii="Times New Roman" w:hAnsi="Times New Roman" w:cs="Times New Roman"/>
          <w:sz w:val="24"/>
          <w:szCs w:val="24"/>
        </w:rPr>
        <w:t xml:space="preserve">EAL/D education </w:t>
      </w:r>
      <w:r w:rsidR="006824AE">
        <w:rPr>
          <w:rFonts w:ascii="Times New Roman" w:hAnsi="Times New Roman" w:cs="Times New Roman"/>
          <w:sz w:val="24"/>
          <w:szCs w:val="24"/>
        </w:rPr>
        <w:t>cannot be progressed by a</w:t>
      </w:r>
      <w:r w:rsidR="00400542">
        <w:rPr>
          <w:rFonts w:ascii="Times New Roman" w:hAnsi="Times New Roman" w:cs="Times New Roman"/>
          <w:sz w:val="24"/>
          <w:szCs w:val="24"/>
        </w:rPr>
        <w:t>n</w:t>
      </w:r>
      <w:r w:rsidR="006824AE" w:rsidRPr="00AB2512">
        <w:rPr>
          <w:rFonts w:ascii="Times New Roman" w:hAnsi="Times New Roman" w:cs="Times New Roman"/>
          <w:sz w:val="24"/>
          <w:szCs w:val="24"/>
        </w:rPr>
        <w:t xml:space="preserve"> </w:t>
      </w:r>
      <w:r w:rsidR="001F4FB2">
        <w:rPr>
          <w:rFonts w:ascii="Times New Roman" w:hAnsi="Times New Roman" w:cs="Times New Roman"/>
          <w:sz w:val="24"/>
          <w:szCs w:val="24"/>
        </w:rPr>
        <w:t>embedded</w:t>
      </w:r>
      <w:r w:rsidR="006824AE">
        <w:rPr>
          <w:rFonts w:ascii="Times New Roman" w:hAnsi="Times New Roman" w:cs="Times New Roman"/>
          <w:sz w:val="24"/>
          <w:szCs w:val="24"/>
        </w:rPr>
        <w:t xml:space="preserve"> </w:t>
      </w:r>
      <w:r w:rsidR="001F4FB2">
        <w:rPr>
          <w:rFonts w:ascii="Times New Roman" w:hAnsi="Times New Roman" w:cs="Times New Roman"/>
          <w:sz w:val="24"/>
          <w:szCs w:val="24"/>
        </w:rPr>
        <w:t>function</w:t>
      </w:r>
      <w:r w:rsidR="006824AE">
        <w:rPr>
          <w:rFonts w:ascii="Times New Roman" w:hAnsi="Times New Roman" w:cs="Times New Roman"/>
          <w:sz w:val="24"/>
          <w:szCs w:val="24"/>
        </w:rPr>
        <w:t xml:space="preserve"> </w:t>
      </w:r>
      <w:r w:rsidR="00400542">
        <w:rPr>
          <w:rFonts w:ascii="Times New Roman" w:hAnsi="Times New Roman" w:cs="Times New Roman"/>
          <w:sz w:val="24"/>
          <w:szCs w:val="24"/>
        </w:rPr>
        <w:t xml:space="preserve">on </w:t>
      </w:r>
      <w:r w:rsidR="006824AE">
        <w:rPr>
          <w:rFonts w:ascii="Times New Roman" w:hAnsi="Times New Roman" w:cs="Times New Roman"/>
          <w:sz w:val="24"/>
          <w:szCs w:val="24"/>
        </w:rPr>
        <w:t>a part-time basis.</w:t>
      </w:r>
    </w:p>
    <w:p w14:paraId="3963931E" w14:textId="655E44B7" w:rsidR="00076E41" w:rsidRPr="003E04BD" w:rsidRDefault="00076E41" w:rsidP="00E14C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venir" w:hAnsi="Times New Roman" w:cs="Times New Roman"/>
          <w:sz w:val="24"/>
          <w:szCs w:val="24"/>
        </w:rPr>
        <w:t xml:space="preserve">If the Government is committed to </w:t>
      </w:r>
      <w:r w:rsidR="00C64B03">
        <w:rPr>
          <w:rFonts w:ascii="Times New Roman" w:eastAsia="Avenir" w:hAnsi="Times New Roman" w:cs="Times New Roman"/>
          <w:sz w:val="24"/>
          <w:szCs w:val="24"/>
        </w:rPr>
        <w:t xml:space="preserve">national </w:t>
      </w:r>
      <w:r w:rsidR="00C64B03" w:rsidRPr="0007691D">
        <w:rPr>
          <w:rFonts w:ascii="Times New Roman" w:hAnsi="Times New Roman" w:cs="Times New Roman"/>
          <w:sz w:val="24"/>
          <w:szCs w:val="24"/>
        </w:rPr>
        <w:t xml:space="preserve">EAL/D education </w:t>
      </w:r>
      <w:r w:rsidR="00C64B03">
        <w:rPr>
          <w:rFonts w:ascii="Times New Roman" w:eastAsia="Avenir" w:hAnsi="Times New Roman" w:cs="Times New Roman"/>
          <w:sz w:val="24"/>
          <w:szCs w:val="24"/>
        </w:rPr>
        <w:t>reform</w:t>
      </w:r>
      <w:r>
        <w:rPr>
          <w:rFonts w:ascii="Times New Roman" w:eastAsia="Avenir" w:hAnsi="Times New Roman" w:cs="Times New Roman"/>
          <w:sz w:val="24"/>
          <w:szCs w:val="24"/>
        </w:rPr>
        <w:t>, a</w:t>
      </w:r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 stand-alone national </w:t>
      </w:r>
      <w:r w:rsidR="00C64B03">
        <w:rPr>
          <w:rFonts w:ascii="Times New Roman" w:eastAsia="Avenir" w:hAnsi="Times New Roman" w:cs="Times New Roman"/>
          <w:sz w:val="24"/>
          <w:szCs w:val="24"/>
        </w:rPr>
        <w:t>unit</w:t>
      </w:r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 is needed to </w:t>
      </w:r>
      <w:r w:rsidR="00886F44">
        <w:rPr>
          <w:rFonts w:ascii="Times New Roman" w:eastAsia="Avenir" w:hAnsi="Times New Roman" w:cs="Times New Roman"/>
          <w:sz w:val="24"/>
          <w:szCs w:val="24"/>
        </w:rPr>
        <w:t>plan, coordinate, implement</w:t>
      </w:r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886F44">
        <w:rPr>
          <w:rFonts w:ascii="Times New Roman" w:eastAsia="Avenir" w:hAnsi="Times New Roman" w:cs="Times New Roman"/>
          <w:sz w:val="24"/>
          <w:szCs w:val="24"/>
        </w:rPr>
        <w:t xml:space="preserve">and </w:t>
      </w:r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report on </w:t>
      </w:r>
      <w:r w:rsidR="00C64B03">
        <w:rPr>
          <w:rFonts w:ascii="Times New Roman" w:eastAsia="Avenir" w:hAnsi="Times New Roman" w:cs="Times New Roman"/>
          <w:sz w:val="24"/>
          <w:szCs w:val="24"/>
        </w:rPr>
        <w:t>these</w:t>
      </w:r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 reforms</w:t>
      </w:r>
      <w:r w:rsidR="00227EF9">
        <w:rPr>
          <w:rFonts w:ascii="Times New Roman" w:eastAsia="Avenir" w:hAnsi="Times New Roman" w:cs="Times New Roman"/>
          <w:sz w:val="24"/>
          <w:szCs w:val="24"/>
        </w:rPr>
        <w:t>, staffed by</w:t>
      </w:r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="00227EF9">
        <w:rPr>
          <w:rFonts w:ascii="Times New Roman" w:eastAsia="Avenir" w:hAnsi="Times New Roman" w:cs="Times New Roman"/>
          <w:sz w:val="24"/>
          <w:szCs w:val="24"/>
        </w:rPr>
        <w:t>a</w:t>
      </w:r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 team </w:t>
      </w:r>
      <w:r w:rsidR="00227EF9">
        <w:rPr>
          <w:rFonts w:ascii="Times New Roman" w:hAnsi="Times New Roman" w:cs="Times New Roman"/>
          <w:sz w:val="24"/>
          <w:szCs w:val="24"/>
        </w:rPr>
        <w:lastRenderedPageBreak/>
        <w:t>with</w:t>
      </w:r>
      <w:r w:rsidR="00E14C17" w:rsidRPr="00E14C17">
        <w:rPr>
          <w:rFonts w:ascii="Times New Roman" w:hAnsi="Times New Roman" w:cs="Times New Roman"/>
          <w:sz w:val="24"/>
          <w:szCs w:val="24"/>
        </w:rPr>
        <w:t xml:space="preserve"> </w:t>
      </w:r>
      <w:r w:rsidR="00227EF9" w:rsidRPr="00E14C17">
        <w:rPr>
          <w:rFonts w:ascii="Times New Roman" w:eastAsia="Avenir" w:hAnsi="Times New Roman" w:cs="Times New Roman"/>
          <w:sz w:val="24"/>
          <w:szCs w:val="24"/>
        </w:rPr>
        <w:t xml:space="preserve">EAL/D </w:t>
      </w:r>
      <w:r w:rsidR="00227EF9">
        <w:rPr>
          <w:rFonts w:ascii="Times New Roman" w:hAnsi="Times New Roman" w:cs="Times New Roman"/>
          <w:sz w:val="24"/>
          <w:szCs w:val="24"/>
        </w:rPr>
        <w:t xml:space="preserve">policy and program </w:t>
      </w:r>
      <w:r w:rsidR="00E14C17" w:rsidRPr="00E14C17">
        <w:rPr>
          <w:rFonts w:ascii="Times New Roman" w:hAnsi="Times New Roman" w:cs="Times New Roman"/>
          <w:sz w:val="24"/>
          <w:szCs w:val="24"/>
        </w:rPr>
        <w:t xml:space="preserve">expertise </w:t>
      </w:r>
      <w:r w:rsidR="00122DEA">
        <w:rPr>
          <w:rFonts w:ascii="Times New Roman" w:eastAsia="Avenir" w:hAnsi="Times New Roman" w:cs="Times New Roman"/>
          <w:sz w:val="24"/>
          <w:szCs w:val="24"/>
        </w:rPr>
        <w:t>around</w:t>
      </w:r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 </w:t>
      </w:r>
      <w:r w:rsidRPr="00E14C17">
        <w:rPr>
          <w:rFonts w:ascii="Times New Roman" w:eastAsia="Avenir" w:hAnsi="Times New Roman" w:cs="Times New Roman"/>
          <w:sz w:val="24"/>
          <w:szCs w:val="24"/>
        </w:rPr>
        <w:t xml:space="preserve">State and Territory education system </w:t>
      </w:r>
      <w:r>
        <w:rPr>
          <w:rFonts w:ascii="Times New Roman" w:eastAsia="Avenir" w:hAnsi="Times New Roman" w:cs="Times New Roman"/>
          <w:sz w:val="24"/>
          <w:szCs w:val="24"/>
        </w:rPr>
        <w:t xml:space="preserve">support for </w:t>
      </w:r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refugee, </w:t>
      </w:r>
      <w:proofErr w:type="gramStart"/>
      <w:r w:rsidR="00E14C17" w:rsidRPr="00E14C17">
        <w:rPr>
          <w:rFonts w:ascii="Times New Roman" w:eastAsia="Avenir" w:hAnsi="Times New Roman" w:cs="Times New Roman"/>
          <w:sz w:val="24"/>
          <w:szCs w:val="24"/>
        </w:rPr>
        <w:t>migrant</w:t>
      </w:r>
      <w:proofErr w:type="gramEnd"/>
      <w:r w:rsidR="00E14C17" w:rsidRPr="00E14C17">
        <w:rPr>
          <w:rFonts w:ascii="Times New Roman" w:eastAsia="Avenir" w:hAnsi="Times New Roman" w:cs="Times New Roman"/>
          <w:sz w:val="24"/>
          <w:szCs w:val="24"/>
        </w:rPr>
        <w:t xml:space="preserve"> and Indigenous EAL/D learners in urban, regional and remote settings</w:t>
      </w:r>
      <w:r>
        <w:rPr>
          <w:rFonts w:ascii="Times New Roman" w:eastAsia="Avenir" w:hAnsi="Times New Roman" w:cs="Times New Roman"/>
          <w:sz w:val="24"/>
          <w:szCs w:val="24"/>
        </w:rPr>
        <w:t>.</w:t>
      </w:r>
    </w:p>
    <w:p w14:paraId="24815726" w14:textId="3DBF470B" w:rsidR="003E04BD" w:rsidRPr="00D616B7" w:rsidRDefault="003E04BD" w:rsidP="003E04BD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D616B7">
        <w:rPr>
          <w:rFonts w:ascii="Arial" w:hAnsi="Arial" w:cs="Arial"/>
          <w:b/>
          <w:bCs/>
          <w:sz w:val="24"/>
          <w:szCs w:val="24"/>
        </w:rPr>
        <w:t>COMMENT:</w:t>
      </w:r>
    </w:p>
    <w:p w14:paraId="4DDFD230" w14:textId="6FB197BB" w:rsidR="006824AE" w:rsidRDefault="00C64B03" w:rsidP="00A372C0">
      <w:pPr>
        <w:spacing w:after="120" w:line="240" w:lineRule="auto"/>
        <w:jc w:val="both"/>
        <w:rPr>
          <w:rFonts w:ascii="Times New Roman" w:eastAsia="Avenir" w:hAnsi="Times New Roman" w:cs="Times New Roman"/>
          <w:sz w:val="24"/>
          <w:szCs w:val="24"/>
        </w:rPr>
      </w:pPr>
      <w:r w:rsidRPr="0007691D">
        <w:rPr>
          <w:rFonts w:ascii="Times New Roman" w:hAnsi="Times New Roman" w:cs="Times New Roman"/>
          <w:sz w:val="24"/>
          <w:szCs w:val="24"/>
        </w:rPr>
        <w:t xml:space="preserve">EAL/D education </w:t>
      </w:r>
      <w:r>
        <w:rPr>
          <w:rFonts w:ascii="Times New Roman" w:hAnsi="Times New Roman" w:cs="Times New Roman"/>
          <w:sz w:val="24"/>
          <w:szCs w:val="24"/>
        </w:rPr>
        <w:t xml:space="preserve">in Australia </w:t>
      </w:r>
      <w:r w:rsidR="006824AE" w:rsidRPr="0007691D">
        <w:rPr>
          <w:rFonts w:ascii="Times New Roman" w:hAnsi="Times New Roman" w:cs="Times New Roman"/>
          <w:sz w:val="24"/>
          <w:szCs w:val="24"/>
        </w:rPr>
        <w:t xml:space="preserve">is now at a crucial </w:t>
      </w:r>
      <w:r w:rsidR="007F2082">
        <w:rPr>
          <w:rFonts w:ascii="Times New Roman" w:hAnsi="Times New Roman" w:cs="Times New Roman"/>
          <w:sz w:val="24"/>
          <w:szCs w:val="24"/>
        </w:rPr>
        <w:t>crossroad. Its future viability as a national access and equity program</w:t>
      </w:r>
      <w:r w:rsidR="006824AE">
        <w:rPr>
          <w:rFonts w:ascii="Times New Roman" w:hAnsi="Times New Roman" w:cs="Times New Roman"/>
          <w:sz w:val="24"/>
          <w:szCs w:val="24"/>
        </w:rPr>
        <w:t xml:space="preserve"> </w:t>
      </w:r>
      <w:r w:rsidR="001F4FB2">
        <w:rPr>
          <w:rFonts w:ascii="Times New Roman" w:hAnsi="Times New Roman" w:cs="Times New Roman"/>
          <w:sz w:val="24"/>
          <w:szCs w:val="24"/>
        </w:rPr>
        <w:t xml:space="preserve">now relies on </w:t>
      </w:r>
      <w:r w:rsidR="007F2082">
        <w:rPr>
          <w:rFonts w:ascii="Times New Roman" w:hAnsi="Times New Roman" w:cs="Times New Roman"/>
          <w:sz w:val="24"/>
          <w:szCs w:val="24"/>
        </w:rPr>
        <w:t xml:space="preserve">urgent </w:t>
      </w:r>
      <w:r w:rsidR="006824AE">
        <w:rPr>
          <w:rFonts w:ascii="Times New Roman" w:hAnsi="Times New Roman" w:cs="Times New Roman"/>
          <w:sz w:val="24"/>
          <w:szCs w:val="24"/>
        </w:rPr>
        <w:t>Commonwealth interven</w:t>
      </w:r>
      <w:r w:rsidR="007F2082">
        <w:rPr>
          <w:rFonts w:ascii="Times New Roman" w:hAnsi="Times New Roman" w:cs="Times New Roman"/>
          <w:sz w:val="24"/>
          <w:szCs w:val="24"/>
        </w:rPr>
        <w:t xml:space="preserve">tion and </w:t>
      </w:r>
      <w:r w:rsidR="006824AE">
        <w:rPr>
          <w:rFonts w:ascii="Times New Roman" w:hAnsi="Times New Roman" w:cs="Times New Roman"/>
          <w:sz w:val="24"/>
          <w:szCs w:val="24"/>
        </w:rPr>
        <w:t>lead</w:t>
      </w:r>
      <w:r w:rsidR="007F2082">
        <w:rPr>
          <w:rFonts w:ascii="Times New Roman" w:hAnsi="Times New Roman" w:cs="Times New Roman"/>
          <w:sz w:val="24"/>
          <w:szCs w:val="24"/>
        </w:rPr>
        <w:t>ership of</w:t>
      </w:r>
      <w:r w:rsidR="006824AE">
        <w:rPr>
          <w:rFonts w:ascii="Times New Roman" w:hAnsi="Times New Roman" w:cs="Times New Roman"/>
          <w:sz w:val="24"/>
          <w:szCs w:val="24"/>
        </w:rPr>
        <w:t xml:space="preserve"> a national </w:t>
      </w:r>
      <w:r w:rsidR="007F2082">
        <w:rPr>
          <w:rFonts w:ascii="Times New Roman" w:hAnsi="Times New Roman" w:cs="Times New Roman"/>
          <w:sz w:val="24"/>
          <w:szCs w:val="24"/>
        </w:rPr>
        <w:t xml:space="preserve">EAL/D education </w:t>
      </w:r>
      <w:r w:rsidR="006824AE">
        <w:rPr>
          <w:rFonts w:ascii="Times New Roman" w:hAnsi="Times New Roman" w:cs="Times New Roman"/>
          <w:sz w:val="24"/>
          <w:szCs w:val="24"/>
        </w:rPr>
        <w:t xml:space="preserve">reform </w:t>
      </w:r>
      <w:r w:rsidR="007F2082">
        <w:rPr>
          <w:rFonts w:ascii="Times New Roman" w:hAnsi="Times New Roman" w:cs="Times New Roman"/>
          <w:sz w:val="24"/>
          <w:szCs w:val="24"/>
        </w:rPr>
        <w:t xml:space="preserve">agenda </w:t>
      </w:r>
      <w:r w:rsidR="006824AE">
        <w:rPr>
          <w:rFonts w:ascii="Times New Roman" w:hAnsi="Times New Roman" w:cs="Times New Roman"/>
          <w:sz w:val="24"/>
          <w:szCs w:val="24"/>
        </w:rPr>
        <w:t xml:space="preserve">along the lines </w:t>
      </w:r>
      <w:r w:rsidR="007F2082">
        <w:rPr>
          <w:rFonts w:ascii="Times New Roman" w:hAnsi="Times New Roman" w:cs="Times New Roman"/>
          <w:sz w:val="24"/>
          <w:szCs w:val="24"/>
        </w:rPr>
        <w:t>outlined in ACTA’s</w:t>
      </w:r>
      <w:r w:rsidR="006824AE">
        <w:rPr>
          <w:rFonts w:ascii="Times New Roman" w:hAnsi="Times New Roman" w:cs="Times New Roman"/>
          <w:sz w:val="24"/>
          <w:szCs w:val="24"/>
        </w:rPr>
        <w:t xml:space="preserve"> </w:t>
      </w:r>
      <w:r w:rsidR="007F2082" w:rsidRPr="001A09BB">
        <w:rPr>
          <w:rFonts w:ascii="Times New Roman" w:hAnsi="Times New Roman" w:cs="Times New Roman"/>
          <w:i/>
          <w:iCs/>
          <w:sz w:val="24"/>
          <w:szCs w:val="24"/>
          <w:lang w:val="en-US"/>
        </w:rPr>
        <w:t>National Roadmap for EAL/D Education in Schools</w:t>
      </w:r>
      <w:r w:rsidR="007F20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824AE">
        <w:rPr>
          <w:rFonts w:ascii="Times New Roman" w:hAnsi="Times New Roman" w:cs="Times New Roman"/>
          <w:sz w:val="24"/>
          <w:szCs w:val="24"/>
        </w:rPr>
        <w:t>above.</w:t>
      </w:r>
      <w:r w:rsidR="002619A3">
        <w:rPr>
          <w:rFonts w:ascii="Times New Roman" w:hAnsi="Times New Roman" w:cs="Times New Roman"/>
          <w:sz w:val="24"/>
          <w:szCs w:val="24"/>
        </w:rPr>
        <w:t xml:space="preserve"> The Department restructure provides an opportunity for government to consider commitment to this agenda.</w:t>
      </w:r>
    </w:p>
    <w:p w14:paraId="7621E63C" w14:textId="66C50D44" w:rsidR="00CC3539" w:rsidRDefault="00CC3539" w:rsidP="00A372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539">
        <w:rPr>
          <w:rFonts w:ascii="Times New Roman" w:eastAsia="Avenir" w:hAnsi="Times New Roman" w:cs="Times New Roman"/>
          <w:sz w:val="24"/>
          <w:szCs w:val="24"/>
        </w:rPr>
        <w:t>In addition to</w:t>
      </w:r>
      <w:r>
        <w:rPr>
          <w:rFonts w:ascii="Times New Roman" w:eastAsia="Avenir" w:hAnsi="Times New Roman" w:cs="Times New Roman"/>
          <w:sz w:val="24"/>
          <w:szCs w:val="24"/>
        </w:rPr>
        <w:t xml:space="preserve"> the actions outlined in the </w:t>
      </w:r>
      <w:proofErr w:type="gramStart"/>
      <w:r w:rsidRPr="002619A3">
        <w:rPr>
          <w:rFonts w:ascii="Times New Roman" w:eastAsia="Avenir" w:hAnsi="Times New Roman" w:cs="Times New Roman"/>
          <w:i/>
          <w:iCs/>
          <w:sz w:val="24"/>
          <w:szCs w:val="24"/>
        </w:rPr>
        <w:t>Roadmap</w:t>
      </w:r>
      <w:proofErr w:type="gramEnd"/>
      <w:r>
        <w:rPr>
          <w:rFonts w:ascii="Times New Roman" w:eastAsia="Avenir" w:hAnsi="Times New Roman" w:cs="Times New Roman"/>
          <w:sz w:val="24"/>
          <w:szCs w:val="24"/>
        </w:rPr>
        <w:t xml:space="preserve">, a </w:t>
      </w:r>
      <w:r w:rsidR="007F2082">
        <w:rPr>
          <w:rFonts w:ascii="Times New Roman" w:eastAsia="Avenir" w:hAnsi="Times New Roman" w:cs="Times New Roman"/>
          <w:sz w:val="24"/>
          <w:szCs w:val="24"/>
        </w:rPr>
        <w:t xml:space="preserve">related and </w:t>
      </w:r>
      <w:r>
        <w:rPr>
          <w:rFonts w:ascii="Times New Roman" w:eastAsia="Avenir" w:hAnsi="Times New Roman" w:cs="Times New Roman"/>
          <w:sz w:val="24"/>
          <w:szCs w:val="24"/>
        </w:rPr>
        <w:t>substantial p</w:t>
      </w:r>
      <w:r>
        <w:rPr>
          <w:rFonts w:ascii="Times New Roman" w:hAnsi="Times New Roman" w:cs="Times New Roman"/>
          <w:sz w:val="24"/>
          <w:szCs w:val="24"/>
        </w:rPr>
        <w:t>rogram of EAL/D</w:t>
      </w:r>
      <w:r w:rsidR="007F2082">
        <w:rPr>
          <w:rFonts w:ascii="Times New Roman" w:hAnsi="Times New Roman" w:cs="Times New Roman"/>
          <w:sz w:val="24"/>
          <w:szCs w:val="24"/>
        </w:rPr>
        <w:t xml:space="preserve"> specific</w:t>
      </w:r>
      <w:r>
        <w:rPr>
          <w:rFonts w:ascii="Times New Roman" w:hAnsi="Times New Roman" w:cs="Times New Roman"/>
          <w:sz w:val="24"/>
          <w:szCs w:val="24"/>
        </w:rPr>
        <w:t xml:space="preserve"> work arises from implementation of the </w:t>
      </w:r>
      <w:r w:rsidR="00740DB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overnment</w:t>
      </w:r>
      <w:r w:rsidR="00740DB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6B1483">
        <w:rPr>
          <w:rFonts w:ascii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>reform agenda</w:t>
      </w:r>
      <w:r w:rsidR="007F2082">
        <w:rPr>
          <w:rFonts w:ascii="Times New Roman" w:hAnsi="Times New Roman" w:cs="Times New Roman"/>
          <w:sz w:val="24"/>
          <w:szCs w:val="24"/>
        </w:rPr>
        <w:t>. This</w:t>
      </w:r>
      <w:r>
        <w:rPr>
          <w:rFonts w:ascii="Times New Roman" w:hAnsi="Times New Roman" w:cs="Times New Roman"/>
          <w:sz w:val="24"/>
          <w:szCs w:val="24"/>
        </w:rPr>
        <w:t xml:space="preserve"> includ</w:t>
      </w:r>
      <w:r w:rsidR="007F208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09A5A0" w14:textId="5BCFF17A" w:rsidR="00CC3539" w:rsidRDefault="00CC3539" w:rsidP="00554751">
      <w:pPr>
        <w:pStyle w:val="ListParagraph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3539">
        <w:rPr>
          <w:rFonts w:ascii="Times New Roman" w:hAnsi="Times New Roman" w:cs="Times New Roman"/>
          <w:sz w:val="24"/>
          <w:szCs w:val="24"/>
        </w:rPr>
        <w:t>implement</w:t>
      </w:r>
      <w:r w:rsidR="00CF48F8">
        <w:rPr>
          <w:rFonts w:ascii="Times New Roman" w:hAnsi="Times New Roman" w:cs="Times New Roman"/>
          <w:sz w:val="24"/>
          <w:szCs w:val="24"/>
        </w:rPr>
        <w:t>ing</w:t>
      </w:r>
      <w:r w:rsidRPr="00CC3539">
        <w:rPr>
          <w:rFonts w:ascii="Times New Roman" w:hAnsi="Times New Roman" w:cs="Times New Roman"/>
          <w:sz w:val="24"/>
          <w:szCs w:val="24"/>
        </w:rPr>
        <w:t xml:space="preserve"> </w:t>
      </w:r>
      <w:r w:rsidR="00CF48F8" w:rsidRPr="00CC3539">
        <w:rPr>
          <w:rFonts w:ascii="Times New Roman" w:hAnsi="Times New Roman" w:cs="Times New Roman"/>
          <w:i/>
          <w:iCs/>
          <w:sz w:val="24"/>
          <w:szCs w:val="24"/>
        </w:rPr>
        <w:t>Improving Outcomes for All</w:t>
      </w:r>
      <w:r w:rsidR="00CF48F8" w:rsidRPr="00CC3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8F8" w:rsidRPr="00CC3539">
        <w:rPr>
          <w:rFonts w:ascii="Times New Roman" w:hAnsi="Times New Roman" w:cs="Times New Roman"/>
          <w:sz w:val="24"/>
          <w:szCs w:val="24"/>
        </w:rPr>
        <w:t xml:space="preserve">Report </w:t>
      </w:r>
      <w:r w:rsidRPr="00CC3539">
        <w:rPr>
          <w:rFonts w:ascii="Times New Roman" w:hAnsi="Times New Roman" w:cs="Times New Roman"/>
          <w:sz w:val="24"/>
          <w:szCs w:val="24"/>
        </w:rPr>
        <w:t xml:space="preserve">Recommendation 5c </w:t>
      </w:r>
      <w:r w:rsidR="00CF48F8">
        <w:rPr>
          <w:rFonts w:ascii="Times New Roman" w:hAnsi="Times New Roman" w:cs="Times New Roman"/>
          <w:sz w:val="24"/>
          <w:szCs w:val="24"/>
        </w:rPr>
        <w:t xml:space="preserve">to </w:t>
      </w:r>
      <w:r w:rsidRPr="00CC3539">
        <w:rPr>
          <w:rFonts w:ascii="Times New Roman" w:hAnsi="Times New Roman" w:cs="Times New Roman"/>
          <w:sz w:val="24"/>
          <w:szCs w:val="24"/>
        </w:rPr>
        <w:t>identify and defin</w:t>
      </w:r>
      <w:r w:rsidR="00CF48F8">
        <w:rPr>
          <w:rFonts w:ascii="Times New Roman" w:hAnsi="Times New Roman" w:cs="Times New Roman"/>
          <w:sz w:val="24"/>
          <w:szCs w:val="24"/>
        </w:rPr>
        <w:t xml:space="preserve">e </w:t>
      </w:r>
      <w:r w:rsidRPr="00CC3539">
        <w:rPr>
          <w:rFonts w:ascii="Times New Roman" w:hAnsi="Times New Roman" w:cs="Times New Roman"/>
          <w:sz w:val="24"/>
          <w:szCs w:val="24"/>
        </w:rPr>
        <w:t>EAL/D learners as a</w:t>
      </w:r>
      <w:r w:rsidR="00CF48F8">
        <w:rPr>
          <w:rFonts w:ascii="Times New Roman" w:hAnsi="Times New Roman" w:cs="Times New Roman"/>
          <w:sz w:val="24"/>
          <w:szCs w:val="24"/>
        </w:rPr>
        <w:t xml:space="preserve"> </w:t>
      </w:r>
      <w:r w:rsidRPr="00CC3539">
        <w:rPr>
          <w:rFonts w:ascii="Times New Roman" w:hAnsi="Times New Roman" w:cs="Times New Roman"/>
          <w:sz w:val="24"/>
          <w:szCs w:val="24"/>
        </w:rPr>
        <w:t>priority equity cohort through development of a national EAL/D proficiency measure</w:t>
      </w:r>
      <w:r w:rsidR="005A7FE2">
        <w:rPr>
          <w:rFonts w:ascii="Times New Roman" w:hAnsi="Times New Roman" w:cs="Times New Roman"/>
          <w:sz w:val="24"/>
          <w:szCs w:val="24"/>
        </w:rPr>
        <w:t xml:space="preserve"> and related </w:t>
      </w:r>
      <w:r w:rsidR="00E61889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5A7FE2">
        <w:rPr>
          <w:rFonts w:ascii="Times New Roman" w:hAnsi="Times New Roman" w:cs="Times New Roman"/>
          <w:sz w:val="24"/>
          <w:szCs w:val="24"/>
        </w:rPr>
        <w:t xml:space="preserve">data collection and reporting </w:t>
      </w:r>
      <w:proofErr w:type="gramStart"/>
      <w:r w:rsidR="005A7FE2">
        <w:rPr>
          <w:rFonts w:ascii="Times New Roman" w:hAnsi="Times New Roman" w:cs="Times New Roman"/>
          <w:sz w:val="24"/>
          <w:szCs w:val="24"/>
        </w:rPr>
        <w:t>capability</w:t>
      </w:r>
      <w:r w:rsidR="00D616B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A7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0A556" w14:textId="028CB05A" w:rsidR="002370C8" w:rsidRDefault="00317B37" w:rsidP="0055475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AA444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State and Territory Governments to </w:t>
      </w:r>
      <w:r w:rsidR="0000464E">
        <w:rPr>
          <w:rFonts w:ascii="Times New Roman" w:hAnsi="Times New Roman" w:cs="Times New Roman"/>
          <w:sz w:val="24"/>
          <w:szCs w:val="24"/>
        </w:rPr>
        <w:t>improv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00464E" w:rsidRPr="001B2D1B">
        <w:rPr>
          <w:rFonts w:ascii="Times New Roman" w:hAnsi="Times New Roman" w:cs="Times New Roman"/>
          <w:sz w:val="24"/>
          <w:szCs w:val="24"/>
        </w:rPr>
        <w:t xml:space="preserve"> transparency and accountability in education systems’ allocation and use of earmarked </w:t>
      </w:r>
      <w:r w:rsidR="0000464E">
        <w:rPr>
          <w:rFonts w:ascii="Times New Roman" w:hAnsi="Times New Roman" w:cs="Times New Roman"/>
          <w:sz w:val="24"/>
          <w:szCs w:val="24"/>
        </w:rPr>
        <w:t xml:space="preserve">English language proficiency </w:t>
      </w:r>
      <w:r w:rsidR="0000464E" w:rsidRPr="001B2D1B">
        <w:rPr>
          <w:rFonts w:ascii="Times New Roman" w:hAnsi="Times New Roman" w:cs="Times New Roman"/>
          <w:sz w:val="24"/>
          <w:szCs w:val="24"/>
        </w:rPr>
        <w:t>and other funding to improve EAL/D students’ English learning outcomes</w:t>
      </w:r>
      <w:r w:rsidR="00F542E7">
        <w:rPr>
          <w:rFonts w:ascii="Times New Roman" w:hAnsi="Times New Roman" w:cs="Times New Roman"/>
          <w:sz w:val="24"/>
          <w:szCs w:val="24"/>
        </w:rPr>
        <w:t>;</w:t>
      </w:r>
      <w:r w:rsidR="00E6188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1298B1F2" w14:textId="6A562377" w:rsidR="00E61889" w:rsidRPr="001B2D1B" w:rsidRDefault="00415D04" w:rsidP="00E61889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1889">
        <w:rPr>
          <w:rFonts w:ascii="Times New Roman" w:hAnsi="Times New Roman" w:cs="Times New Roman"/>
          <w:sz w:val="24"/>
          <w:szCs w:val="24"/>
        </w:rPr>
        <w:t xml:space="preserve">orking with state and territory education systems to </w:t>
      </w:r>
      <w:r>
        <w:rPr>
          <w:rFonts w:ascii="Times New Roman" w:hAnsi="Times New Roman" w:cs="Times New Roman"/>
          <w:sz w:val="24"/>
          <w:szCs w:val="24"/>
        </w:rPr>
        <w:t xml:space="preserve">improve </w:t>
      </w:r>
      <w:r w:rsidR="00E61889" w:rsidRPr="001B2D1B">
        <w:rPr>
          <w:rFonts w:ascii="Times New Roman" w:hAnsi="Times New Roman" w:cs="Times New Roman"/>
          <w:sz w:val="24"/>
          <w:szCs w:val="24"/>
        </w:rPr>
        <w:t>identif</w:t>
      </w:r>
      <w:r>
        <w:rPr>
          <w:rFonts w:ascii="Times New Roman" w:hAnsi="Times New Roman" w:cs="Times New Roman"/>
          <w:sz w:val="24"/>
          <w:szCs w:val="24"/>
        </w:rPr>
        <w:t xml:space="preserve">ication of </w:t>
      </w:r>
      <w:r w:rsidR="00E61889" w:rsidRPr="001B2D1B">
        <w:rPr>
          <w:rFonts w:ascii="Times New Roman" w:hAnsi="Times New Roman" w:cs="Times New Roman"/>
          <w:sz w:val="24"/>
          <w:szCs w:val="24"/>
        </w:rPr>
        <w:t xml:space="preserve">EAL/D need, targeted </w:t>
      </w:r>
      <w:r w:rsidRPr="001B2D1B">
        <w:rPr>
          <w:rFonts w:ascii="Times New Roman" w:hAnsi="Times New Roman" w:cs="Times New Roman"/>
          <w:sz w:val="24"/>
          <w:szCs w:val="24"/>
        </w:rPr>
        <w:t xml:space="preserve">resource </w:t>
      </w:r>
      <w:r w:rsidR="00E61889" w:rsidRPr="001B2D1B">
        <w:rPr>
          <w:rFonts w:ascii="Times New Roman" w:hAnsi="Times New Roman" w:cs="Times New Roman"/>
          <w:sz w:val="24"/>
          <w:szCs w:val="24"/>
        </w:rPr>
        <w:t>allocation, EAL/D program</w:t>
      </w:r>
      <w:r>
        <w:rPr>
          <w:rFonts w:ascii="Times New Roman" w:hAnsi="Times New Roman" w:cs="Times New Roman"/>
          <w:sz w:val="24"/>
          <w:szCs w:val="24"/>
        </w:rPr>
        <w:t xml:space="preserve"> delivery</w:t>
      </w:r>
      <w:r w:rsidR="00E61889" w:rsidRPr="001B2D1B">
        <w:rPr>
          <w:rFonts w:ascii="Times New Roman" w:hAnsi="Times New Roman" w:cs="Times New Roman"/>
          <w:sz w:val="24"/>
          <w:szCs w:val="24"/>
        </w:rPr>
        <w:t xml:space="preserve"> and reporting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E61889" w:rsidRPr="001B2D1B">
        <w:rPr>
          <w:rFonts w:ascii="Times New Roman" w:hAnsi="Times New Roman" w:cs="Times New Roman"/>
          <w:sz w:val="24"/>
          <w:szCs w:val="24"/>
        </w:rPr>
        <w:t>EAL/D learner achievement and progress</w:t>
      </w:r>
      <w:r w:rsidR="00F542E7">
        <w:rPr>
          <w:rFonts w:ascii="Times New Roman" w:hAnsi="Times New Roman" w:cs="Times New Roman"/>
          <w:sz w:val="24"/>
          <w:szCs w:val="24"/>
        </w:rPr>
        <w:t>;</w:t>
      </w:r>
      <w:r w:rsidR="00F542E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2C662937" w14:textId="059B83F9" w:rsidR="00554751" w:rsidRDefault="002370C8" w:rsidP="00554751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AA444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6B1483" w:rsidRPr="006B1483">
        <w:rPr>
          <w:rFonts w:ascii="Times New Roman" w:hAnsi="Times New Roman" w:cs="Times New Roman"/>
          <w:sz w:val="24"/>
          <w:szCs w:val="24"/>
        </w:rPr>
        <w:t xml:space="preserve">First Nations </w:t>
      </w:r>
      <w:r w:rsidR="00D616B7">
        <w:rPr>
          <w:rFonts w:ascii="Times New Roman" w:hAnsi="Times New Roman" w:cs="Times New Roman"/>
          <w:sz w:val="24"/>
          <w:szCs w:val="24"/>
        </w:rPr>
        <w:t xml:space="preserve">Division and </w:t>
      </w:r>
      <w:r w:rsidR="00317B37" w:rsidRPr="006B1483">
        <w:rPr>
          <w:rFonts w:ascii="Times New Roman" w:hAnsi="Times New Roman" w:cs="Times New Roman"/>
          <w:sz w:val="24"/>
          <w:szCs w:val="24"/>
        </w:rPr>
        <w:t xml:space="preserve">First Nations </w:t>
      </w:r>
      <w:r w:rsidR="006B1483" w:rsidRPr="006B1483">
        <w:rPr>
          <w:rFonts w:ascii="Times New Roman" w:hAnsi="Times New Roman" w:cs="Times New Roman"/>
          <w:sz w:val="24"/>
          <w:szCs w:val="24"/>
        </w:rPr>
        <w:t>Languages Program</w:t>
      </w:r>
      <w:r w:rsidR="006B1483">
        <w:rPr>
          <w:rFonts w:ascii="Times New Roman" w:hAnsi="Times New Roman" w:cs="Times New Roman"/>
          <w:sz w:val="24"/>
          <w:szCs w:val="24"/>
        </w:rPr>
        <w:t xml:space="preserve"> and other </w:t>
      </w:r>
      <w:r>
        <w:rPr>
          <w:rFonts w:ascii="Times New Roman" w:hAnsi="Times New Roman" w:cs="Times New Roman"/>
          <w:sz w:val="24"/>
          <w:szCs w:val="24"/>
        </w:rPr>
        <w:t>Indigenous stakeholders to</w:t>
      </w:r>
      <w:r w:rsidR="0000464E" w:rsidRPr="001B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 identification of and targeted support for Aboriginal and Torres Strait Islander students with EAL/D learning needs</w:t>
      </w:r>
      <w:r w:rsidR="00F542E7">
        <w:rPr>
          <w:rFonts w:ascii="Times New Roman" w:hAnsi="Times New Roman" w:cs="Times New Roman"/>
          <w:sz w:val="24"/>
          <w:szCs w:val="24"/>
        </w:rPr>
        <w:t>;</w:t>
      </w:r>
      <w:r w:rsidR="00F542E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24E332F8" w14:textId="5BD27DAD" w:rsidR="002370C8" w:rsidRPr="00554751" w:rsidRDefault="002370C8" w:rsidP="002370C8">
      <w:pPr>
        <w:pStyle w:val="ListParagraph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AA444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554751">
        <w:rPr>
          <w:rFonts w:ascii="Times New Roman" w:hAnsi="Times New Roman" w:cs="Times New Roman"/>
          <w:sz w:val="24"/>
          <w:szCs w:val="24"/>
        </w:rPr>
        <w:t xml:space="preserve"> AITSL to include standards in the Australian Professional Teaching Standards specifically related to teaching EAL/D learners, and </w:t>
      </w:r>
      <w:r w:rsidR="00D616B7">
        <w:rPr>
          <w:rFonts w:ascii="Times New Roman" w:hAnsi="Times New Roman" w:cs="Times New Roman"/>
          <w:sz w:val="24"/>
          <w:szCs w:val="24"/>
        </w:rPr>
        <w:t xml:space="preserve">with </w:t>
      </w:r>
      <w:r w:rsidR="00E61889">
        <w:rPr>
          <w:rFonts w:ascii="Times New Roman" w:hAnsi="Times New Roman" w:cs="Times New Roman"/>
          <w:sz w:val="24"/>
          <w:szCs w:val="24"/>
        </w:rPr>
        <w:t xml:space="preserve">state and territory </w:t>
      </w:r>
      <w:r w:rsidRPr="00554751">
        <w:rPr>
          <w:rFonts w:ascii="Times New Roman" w:hAnsi="Times New Roman" w:cs="Times New Roman"/>
          <w:sz w:val="24"/>
          <w:szCs w:val="24"/>
        </w:rPr>
        <w:t xml:space="preserve">teacher regulation authorities </w:t>
      </w:r>
      <w:r w:rsidR="00D616B7">
        <w:rPr>
          <w:rFonts w:ascii="Times New Roman" w:hAnsi="Times New Roman" w:cs="Times New Roman"/>
          <w:sz w:val="24"/>
          <w:szCs w:val="24"/>
        </w:rPr>
        <w:t>in</w:t>
      </w:r>
      <w:r w:rsidRPr="00554751">
        <w:rPr>
          <w:rFonts w:ascii="Times New Roman" w:hAnsi="Times New Roman" w:cs="Times New Roman"/>
          <w:sz w:val="24"/>
          <w:szCs w:val="24"/>
        </w:rPr>
        <w:t xml:space="preserve"> comply</w:t>
      </w:r>
      <w:r w:rsidR="00D616B7">
        <w:rPr>
          <w:rFonts w:ascii="Times New Roman" w:hAnsi="Times New Roman" w:cs="Times New Roman"/>
          <w:sz w:val="24"/>
          <w:szCs w:val="24"/>
        </w:rPr>
        <w:t>ing</w:t>
      </w:r>
      <w:r w:rsidRPr="00554751">
        <w:rPr>
          <w:rFonts w:ascii="Times New Roman" w:hAnsi="Times New Roman" w:cs="Times New Roman"/>
          <w:sz w:val="24"/>
          <w:szCs w:val="24"/>
        </w:rPr>
        <w:t xml:space="preserve"> with these revised Standards</w:t>
      </w:r>
      <w:r w:rsidR="00F542E7">
        <w:rPr>
          <w:rFonts w:ascii="Times New Roman" w:hAnsi="Times New Roman" w:cs="Times New Roman"/>
          <w:sz w:val="24"/>
          <w:szCs w:val="24"/>
        </w:rPr>
        <w:t>;</w:t>
      </w:r>
      <w:r w:rsidR="00D616B7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554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6423F" w14:textId="352C474A" w:rsidR="00D616B7" w:rsidRPr="00554751" w:rsidRDefault="00AA444B" w:rsidP="00D616B7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State and Territory Governments to ensure </w:t>
      </w:r>
      <w:r w:rsidR="00D616B7" w:rsidRPr="00554751">
        <w:rPr>
          <w:rFonts w:ascii="Times New Roman" w:hAnsi="Times New Roman" w:cs="Times New Roman"/>
          <w:sz w:val="24"/>
          <w:szCs w:val="24"/>
        </w:rPr>
        <w:t xml:space="preserve">the recruitment, supply and retention of specialist trained EAL/D teachers through the </w:t>
      </w:r>
      <w:r w:rsidR="00D616B7" w:rsidRPr="00554751">
        <w:rPr>
          <w:rFonts w:ascii="Times New Roman" w:hAnsi="Times New Roman" w:cs="Times New Roman"/>
          <w:i/>
          <w:iCs/>
          <w:sz w:val="24"/>
          <w:szCs w:val="24"/>
        </w:rPr>
        <w:t>National Teacher Workforce Action Plan</w:t>
      </w:r>
      <w:r w:rsidR="00F542E7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D616B7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28551E78" w14:textId="7EB7BBDE" w:rsidR="00AA444B" w:rsidRDefault="00AA444B" w:rsidP="00AA444B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616B7">
        <w:rPr>
          <w:rFonts w:ascii="Times New Roman" w:hAnsi="Times New Roman" w:cs="Times New Roman"/>
          <w:sz w:val="24"/>
          <w:szCs w:val="24"/>
        </w:rPr>
        <w:lastRenderedPageBreak/>
        <w:t xml:space="preserve">working with higher education institutions to ensure </w:t>
      </w:r>
      <w:r w:rsidR="00E61889">
        <w:rPr>
          <w:rFonts w:ascii="Times New Roman" w:hAnsi="Times New Roman" w:cs="Times New Roman"/>
          <w:sz w:val="24"/>
          <w:szCs w:val="24"/>
        </w:rPr>
        <w:t xml:space="preserve">that </w:t>
      </w:r>
      <w:r w:rsidRPr="00D616B7">
        <w:rPr>
          <w:rFonts w:ascii="Times New Roman" w:hAnsi="Times New Roman" w:cs="Times New Roman"/>
          <w:sz w:val="24"/>
          <w:szCs w:val="24"/>
        </w:rPr>
        <w:t xml:space="preserve">implementation of the </w:t>
      </w:r>
      <w:r w:rsidRPr="00D616B7">
        <w:rPr>
          <w:rFonts w:ascii="Times New Roman" w:hAnsi="Times New Roman" w:cs="Times New Roman"/>
          <w:i/>
          <w:iCs/>
          <w:sz w:val="24"/>
          <w:szCs w:val="24"/>
        </w:rPr>
        <w:t>Australian Universities Accord</w:t>
      </w:r>
      <w:r w:rsidRPr="00D6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addresses the </w:t>
      </w:r>
      <w:r w:rsidRPr="00317B37">
        <w:rPr>
          <w:rFonts w:ascii="Times New Roman" w:hAnsi="Times New Roman" w:cs="Times New Roman"/>
          <w:sz w:val="24"/>
          <w:szCs w:val="24"/>
        </w:rPr>
        <w:t xml:space="preserve">skill development and credentialling for all teachers working in culturally and linguistically diverse early childhood, </w:t>
      </w:r>
      <w:proofErr w:type="gramStart"/>
      <w:r w:rsidRPr="00317B37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317B37">
        <w:rPr>
          <w:rFonts w:ascii="Times New Roman" w:hAnsi="Times New Roman" w:cs="Times New Roman"/>
          <w:sz w:val="24"/>
          <w:szCs w:val="24"/>
        </w:rPr>
        <w:t xml:space="preserve"> and adult education settings, including specialist teachers in the areas of TESOL and LOTE teaching and bilingual education</w:t>
      </w:r>
      <w:r w:rsidR="00F542E7">
        <w:rPr>
          <w:rFonts w:ascii="Times New Roman" w:hAnsi="Times New Roman" w:cs="Times New Roman"/>
          <w:sz w:val="24"/>
          <w:szCs w:val="24"/>
        </w:rPr>
        <w:t>;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5028E9FB" w14:textId="69AF399E" w:rsidR="00D616B7" w:rsidRPr="00D616B7" w:rsidRDefault="00C638B7" w:rsidP="00791FE5">
      <w:pPr>
        <w:pStyle w:val="NormalWeb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4751">
        <w:rPr>
          <w:rFonts w:ascii="Times New Roman" w:hAnsi="Times New Roman" w:cs="Times New Roman"/>
          <w:sz w:val="24"/>
          <w:szCs w:val="24"/>
        </w:rPr>
        <w:t>working with teacher education institutions to ensure implementation of</w:t>
      </w:r>
      <w:r w:rsidR="0000464E" w:rsidRPr="00554751">
        <w:rPr>
          <w:rFonts w:ascii="Times New Roman" w:hAnsi="Times New Roman" w:cs="Times New Roman"/>
          <w:sz w:val="24"/>
          <w:szCs w:val="24"/>
        </w:rPr>
        <w:t xml:space="preserve"> t</w:t>
      </w:r>
      <w:r w:rsidRPr="0055475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554751">
        <w:rPr>
          <w:rFonts w:ascii="Times New Roman" w:eastAsia="Times New Roman" w:hAnsi="Times New Roman" w:cs="Times New Roman"/>
          <w:i/>
          <w:iCs/>
          <w:sz w:val="24"/>
          <w:szCs w:val="24"/>
        </w:rPr>
        <w:t>Next Steps: Report of the Quality Initial Teacher Education Review</w:t>
      </w:r>
      <w:r w:rsidRPr="00554751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00464E" w:rsidRPr="0055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751">
        <w:rPr>
          <w:rFonts w:ascii="Times New Roman" w:eastAsia="Times New Roman" w:hAnsi="Times New Roman" w:cs="Times New Roman"/>
          <w:color w:val="40474F"/>
          <w:sz w:val="24"/>
          <w:szCs w:val="24"/>
        </w:rPr>
        <w:t>prepar</w:t>
      </w:r>
      <w:r w:rsidR="0000464E" w:rsidRPr="00554751">
        <w:rPr>
          <w:rFonts w:ascii="Times New Roman" w:eastAsia="Times New Roman" w:hAnsi="Times New Roman" w:cs="Times New Roman"/>
          <w:color w:val="40474F"/>
          <w:sz w:val="24"/>
          <w:szCs w:val="24"/>
        </w:rPr>
        <w:t xml:space="preserve">es </w:t>
      </w:r>
      <w:r w:rsidRPr="00554751">
        <w:rPr>
          <w:rFonts w:ascii="Times New Roman" w:eastAsia="Times New Roman" w:hAnsi="Times New Roman" w:cs="Times New Roman"/>
          <w:color w:val="40474F"/>
          <w:sz w:val="24"/>
          <w:szCs w:val="24"/>
        </w:rPr>
        <w:t xml:space="preserve">initial teacher education (ITE) students to be effective </w:t>
      </w:r>
      <w:r w:rsidR="0000464E" w:rsidRPr="00554751">
        <w:rPr>
          <w:rFonts w:ascii="Times New Roman" w:eastAsia="Times New Roman" w:hAnsi="Times New Roman" w:cs="Times New Roman"/>
          <w:color w:val="40474F"/>
          <w:sz w:val="24"/>
          <w:szCs w:val="24"/>
        </w:rPr>
        <w:t xml:space="preserve">specialist </w:t>
      </w:r>
      <w:r w:rsidRPr="00554751">
        <w:rPr>
          <w:rFonts w:ascii="Times New Roman" w:eastAsia="Times New Roman" w:hAnsi="Times New Roman" w:cs="Times New Roman"/>
          <w:color w:val="40474F"/>
          <w:sz w:val="24"/>
          <w:szCs w:val="24"/>
        </w:rPr>
        <w:t>EAL/D teachers</w:t>
      </w:r>
      <w:r w:rsidR="0000464E" w:rsidRPr="00554751">
        <w:rPr>
          <w:rFonts w:ascii="Times New Roman" w:eastAsia="Times New Roman" w:hAnsi="Times New Roman" w:cs="Times New Roman"/>
          <w:color w:val="40474F"/>
          <w:sz w:val="24"/>
          <w:szCs w:val="24"/>
        </w:rPr>
        <w:t xml:space="preserve"> and mainstream teachers of EAL/D learners</w:t>
      </w:r>
      <w:r w:rsidR="00F542E7">
        <w:rPr>
          <w:rFonts w:ascii="Times New Roman" w:eastAsia="Times New Roman" w:hAnsi="Times New Roman" w:cs="Times New Roman"/>
          <w:color w:val="40474F"/>
          <w:sz w:val="24"/>
          <w:szCs w:val="24"/>
        </w:rPr>
        <w:t>;</w:t>
      </w:r>
      <w:r w:rsidR="00C153A5">
        <w:rPr>
          <w:rStyle w:val="FootnoteReference"/>
          <w:rFonts w:ascii="Times New Roman" w:eastAsia="Times New Roman" w:hAnsi="Times New Roman" w:cs="Times New Roman"/>
          <w:color w:val="40474F"/>
          <w:sz w:val="24"/>
          <w:szCs w:val="24"/>
        </w:rPr>
        <w:footnoteReference w:id="9"/>
      </w:r>
    </w:p>
    <w:p w14:paraId="1BE03AD3" w14:textId="481BA13C" w:rsidR="00CC3539" w:rsidRPr="00CC3539" w:rsidRDefault="00CF48F8" w:rsidP="00791FE5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coordination and consultation with </w:t>
      </w:r>
      <w:r w:rsidR="001F4FB2">
        <w:rPr>
          <w:rFonts w:ascii="Times New Roman" w:hAnsi="Times New Roman" w:cs="Times New Roman"/>
          <w:sz w:val="24"/>
          <w:szCs w:val="24"/>
        </w:rPr>
        <w:t xml:space="preserve">relevant </w:t>
      </w:r>
      <w:r>
        <w:rPr>
          <w:rFonts w:ascii="Times New Roman" w:hAnsi="Times New Roman" w:cs="Times New Roman"/>
          <w:sz w:val="24"/>
          <w:szCs w:val="24"/>
        </w:rPr>
        <w:t xml:space="preserve">internal and external </w:t>
      </w:r>
      <w:r w:rsidR="006B1483">
        <w:rPr>
          <w:rFonts w:ascii="Times New Roman" w:hAnsi="Times New Roman" w:cs="Times New Roman"/>
          <w:sz w:val="24"/>
          <w:szCs w:val="24"/>
        </w:rPr>
        <w:t xml:space="preserve">EAL/D </w:t>
      </w:r>
      <w:r w:rsidR="00E61889">
        <w:rPr>
          <w:rFonts w:ascii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>stakeholders</w:t>
      </w:r>
      <w:r w:rsidR="001F4FB2">
        <w:rPr>
          <w:rFonts w:ascii="Times New Roman" w:hAnsi="Times New Roman" w:cs="Times New Roman"/>
          <w:sz w:val="24"/>
          <w:szCs w:val="24"/>
        </w:rPr>
        <w:t xml:space="preserve"> on the above reforms</w:t>
      </w:r>
      <w:r w:rsidR="006B1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98B87" w14:textId="0C80C27F" w:rsidR="0028796C" w:rsidRPr="001B2D1B" w:rsidRDefault="0091643A" w:rsidP="0028796C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ACTA </w:t>
      </w:r>
      <w:r w:rsidR="00483A84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believes it is time </w:t>
      </w:r>
      <w:r w:rsidR="00483A84">
        <w:rPr>
          <w:rFonts w:ascii="Times New Roman" w:hAnsi="Times New Roman" w:cs="Times New Roman"/>
          <w:sz w:val="24"/>
          <w:szCs w:val="24"/>
        </w:rPr>
        <w:t xml:space="preserve">for the Commonwealth to </w:t>
      </w:r>
      <w:r w:rsidR="00483A84" w:rsidRPr="00483A84">
        <w:rPr>
          <w:rFonts w:ascii="Times New Roman" w:hAnsi="Times New Roman" w:cs="Times New Roman"/>
          <w:sz w:val="24"/>
          <w:szCs w:val="24"/>
        </w:rPr>
        <w:t xml:space="preserve">resume </w:t>
      </w:r>
      <w:r w:rsidR="00483A84">
        <w:rPr>
          <w:rFonts w:ascii="Times New Roman" w:hAnsi="Times New Roman" w:cs="Times New Roman"/>
          <w:sz w:val="24"/>
          <w:szCs w:val="24"/>
        </w:rPr>
        <w:t xml:space="preserve">national </w:t>
      </w:r>
      <w:r w:rsidR="00483A84" w:rsidRPr="00483A84">
        <w:rPr>
          <w:rFonts w:ascii="Times New Roman" w:hAnsi="Times New Roman" w:cs="Times New Roman"/>
          <w:sz w:val="24"/>
          <w:szCs w:val="24"/>
        </w:rPr>
        <w:t>responsibility for</w:t>
      </w:r>
      <w:r w:rsidR="00483A84">
        <w:t xml:space="preserve"> </w:t>
      </w:r>
      <w:r w:rsidR="002370C8" w:rsidRPr="006B1483">
        <w:rPr>
          <w:rFonts w:ascii="Times New Roman" w:hAnsi="Times New Roman" w:cs="Times New Roman"/>
          <w:sz w:val="24"/>
          <w:szCs w:val="24"/>
        </w:rPr>
        <w:t>the on</w:t>
      </w:r>
      <w:r w:rsidR="00483A84">
        <w:rPr>
          <w:rFonts w:ascii="Times New Roman" w:hAnsi="Times New Roman" w:cs="Times New Roman"/>
          <w:sz w:val="24"/>
          <w:szCs w:val="24"/>
        </w:rPr>
        <w:t>-</w:t>
      </w:r>
      <w:r w:rsidR="002370C8" w:rsidRPr="006B1483">
        <w:rPr>
          <w:rFonts w:ascii="Times New Roman" w:hAnsi="Times New Roman" w:cs="Times New Roman"/>
          <w:sz w:val="24"/>
          <w:szCs w:val="24"/>
        </w:rPr>
        <w:t xml:space="preserve">arrival English learning needs of migrant and refugee students in schools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2370C8" w:rsidRPr="006B1483">
        <w:rPr>
          <w:rFonts w:ascii="Times New Roman" w:hAnsi="Times New Roman" w:cs="Times New Roman"/>
          <w:sz w:val="24"/>
          <w:szCs w:val="24"/>
        </w:rPr>
        <w:t xml:space="preserve"> reestablish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2370C8" w:rsidRPr="006B1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national</w:t>
      </w:r>
      <w:r w:rsidR="00234A82">
        <w:rPr>
          <w:rFonts w:ascii="Times New Roman" w:hAnsi="Times New Roman" w:cs="Times New Roman"/>
          <w:sz w:val="24"/>
          <w:szCs w:val="24"/>
        </w:rPr>
        <w:t>ly funded</w:t>
      </w:r>
      <w:r>
        <w:rPr>
          <w:rFonts w:ascii="Times New Roman" w:hAnsi="Times New Roman" w:cs="Times New Roman"/>
          <w:sz w:val="24"/>
          <w:szCs w:val="24"/>
        </w:rPr>
        <w:t xml:space="preserve"> EAL/D </w:t>
      </w:r>
      <w:r w:rsidR="002370C8" w:rsidRPr="006B1483">
        <w:rPr>
          <w:rFonts w:ascii="Times New Roman" w:hAnsi="Times New Roman" w:cs="Times New Roman"/>
          <w:sz w:val="24"/>
          <w:szCs w:val="24"/>
        </w:rPr>
        <w:t>New Arrivals Program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A84">
        <w:rPr>
          <w:rFonts w:ascii="Times New Roman" w:hAnsi="Times New Roman" w:cs="Times New Roman"/>
          <w:sz w:val="24"/>
          <w:szCs w:val="24"/>
        </w:rPr>
        <w:t xml:space="preserve"> </w:t>
      </w:r>
      <w:r w:rsidR="0028796C">
        <w:rPr>
          <w:rFonts w:ascii="Times New Roman" w:hAnsi="Times New Roman" w:cs="Times New Roman"/>
          <w:sz w:val="24"/>
          <w:szCs w:val="24"/>
        </w:rPr>
        <w:t>Continuation of the c</w:t>
      </w:r>
      <w:r w:rsidR="00483A84">
        <w:rPr>
          <w:rFonts w:ascii="Times New Roman" w:hAnsi="Times New Roman" w:cs="Times New Roman"/>
          <w:sz w:val="24"/>
          <w:szCs w:val="24"/>
        </w:rPr>
        <w:t xml:space="preserve">urrent devolved </w:t>
      </w:r>
      <w:r w:rsidR="0028796C">
        <w:rPr>
          <w:rFonts w:ascii="Times New Roman" w:hAnsi="Times New Roman" w:cs="Times New Roman"/>
          <w:sz w:val="24"/>
          <w:szCs w:val="24"/>
        </w:rPr>
        <w:t>arrangement</w:t>
      </w:r>
      <w:r w:rsidR="00483A84">
        <w:rPr>
          <w:rFonts w:ascii="Times New Roman" w:hAnsi="Times New Roman" w:cs="Times New Roman"/>
          <w:sz w:val="24"/>
          <w:szCs w:val="24"/>
        </w:rPr>
        <w:t xml:space="preserve"> are unsustainable as they perpetuate the disconnect between </w:t>
      </w:r>
      <w:r w:rsidR="00483A84" w:rsidRPr="0007691D">
        <w:rPr>
          <w:rFonts w:ascii="Times New Roman" w:hAnsi="Times New Roman" w:cs="Times New Roman"/>
          <w:sz w:val="24"/>
          <w:szCs w:val="24"/>
        </w:rPr>
        <w:t xml:space="preserve">EALD </w:t>
      </w:r>
      <w:r w:rsidR="00483A84">
        <w:rPr>
          <w:rFonts w:ascii="Times New Roman" w:hAnsi="Times New Roman" w:cs="Times New Roman"/>
          <w:sz w:val="24"/>
          <w:szCs w:val="24"/>
        </w:rPr>
        <w:t>provision</w:t>
      </w:r>
      <w:r w:rsidR="00483A84" w:rsidRPr="0007691D">
        <w:rPr>
          <w:rFonts w:ascii="Times New Roman" w:hAnsi="Times New Roman" w:cs="Times New Roman"/>
          <w:sz w:val="24"/>
          <w:szCs w:val="24"/>
        </w:rPr>
        <w:t xml:space="preserve"> </w:t>
      </w:r>
      <w:r w:rsidR="00483A84">
        <w:rPr>
          <w:rFonts w:ascii="Times New Roman" w:hAnsi="Times New Roman" w:cs="Times New Roman"/>
          <w:sz w:val="24"/>
          <w:szCs w:val="24"/>
        </w:rPr>
        <w:t xml:space="preserve">and Australia’s </w:t>
      </w:r>
      <w:r w:rsidR="0028796C">
        <w:rPr>
          <w:rFonts w:ascii="Times New Roman" w:hAnsi="Times New Roman" w:cs="Times New Roman"/>
          <w:sz w:val="24"/>
          <w:szCs w:val="24"/>
        </w:rPr>
        <w:t xml:space="preserve">ongoing </w:t>
      </w:r>
      <w:r w:rsidR="00483A84" w:rsidRPr="0007691D">
        <w:rPr>
          <w:rFonts w:ascii="Times New Roman" w:hAnsi="Times New Roman" w:cs="Times New Roman"/>
          <w:sz w:val="24"/>
          <w:szCs w:val="24"/>
        </w:rPr>
        <w:t xml:space="preserve">migration </w:t>
      </w:r>
      <w:r w:rsidR="00483A84">
        <w:rPr>
          <w:rFonts w:ascii="Times New Roman" w:hAnsi="Times New Roman" w:cs="Times New Roman"/>
          <w:sz w:val="24"/>
          <w:szCs w:val="24"/>
        </w:rPr>
        <w:t xml:space="preserve">and humanitarian </w:t>
      </w:r>
      <w:r w:rsidR="00483A84" w:rsidRPr="0007691D">
        <w:rPr>
          <w:rFonts w:ascii="Times New Roman" w:hAnsi="Times New Roman" w:cs="Times New Roman"/>
          <w:sz w:val="24"/>
          <w:szCs w:val="24"/>
        </w:rPr>
        <w:t>program</w:t>
      </w:r>
      <w:r w:rsidR="00483A84">
        <w:rPr>
          <w:rFonts w:ascii="Times New Roman" w:hAnsi="Times New Roman" w:cs="Times New Roman"/>
          <w:sz w:val="24"/>
          <w:szCs w:val="24"/>
        </w:rPr>
        <w:t>s</w:t>
      </w:r>
      <w:r w:rsidR="0028796C">
        <w:rPr>
          <w:rFonts w:ascii="Times New Roman" w:hAnsi="Times New Roman" w:cs="Times New Roman"/>
          <w:sz w:val="24"/>
          <w:szCs w:val="24"/>
        </w:rPr>
        <w:t xml:space="preserve"> and hinder</w:t>
      </w:r>
      <w:r w:rsidR="00483A84">
        <w:rPr>
          <w:rFonts w:ascii="Times New Roman" w:hAnsi="Times New Roman" w:cs="Times New Roman"/>
          <w:sz w:val="24"/>
          <w:szCs w:val="24"/>
        </w:rPr>
        <w:t xml:space="preserve"> </w:t>
      </w:r>
      <w:r w:rsidR="0028796C">
        <w:rPr>
          <w:rFonts w:ascii="Times New Roman" w:hAnsi="Times New Roman" w:cs="Times New Roman"/>
          <w:sz w:val="24"/>
          <w:szCs w:val="24"/>
        </w:rPr>
        <w:t>Australian education systems’</w:t>
      </w:r>
      <w:r w:rsidR="0028796C" w:rsidRPr="001B2D1B">
        <w:rPr>
          <w:rFonts w:ascii="Times New Roman" w:hAnsi="Times New Roman" w:cs="Times New Roman"/>
          <w:sz w:val="24"/>
          <w:szCs w:val="24"/>
        </w:rPr>
        <w:t xml:space="preserve"> </w:t>
      </w:r>
      <w:r w:rsidR="0028796C">
        <w:rPr>
          <w:rFonts w:ascii="Times New Roman" w:hAnsi="Times New Roman" w:cs="Times New Roman"/>
          <w:sz w:val="24"/>
          <w:szCs w:val="24"/>
        </w:rPr>
        <w:t>ability</w:t>
      </w:r>
      <w:r w:rsidR="0028796C" w:rsidRPr="001B2D1B">
        <w:rPr>
          <w:rFonts w:ascii="Times New Roman" w:hAnsi="Times New Roman" w:cs="Times New Roman"/>
          <w:sz w:val="24"/>
          <w:szCs w:val="24"/>
        </w:rPr>
        <w:t xml:space="preserve"> to </w:t>
      </w:r>
      <w:r w:rsidR="0028796C">
        <w:rPr>
          <w:rFonts w:ascii="Times New Roman" w:hAnsi="Times New Roman" w:cs="Times New Roman"/>
          <w:sz w:val="24"/>
          <w:szCs w:val="24"/>
        </w:rPr>
        <w:t xml:space="preserve">proactively </w:t>
      </w:r>
      <w:r w:rsidR="0028796C" w:rsidRPr="001B2D1B">
        <w:rPr>
          <w:rFonts w:ascii="Times New Roman" w:hAnsi="Times New Roman" w:cs="Times New Roman"/>
          <w:sz w:val="24"/>
          <w:szCs w:val="24"/>
        </w:rPr>
        <w:t xml:space="preserve">respond to the 800,000 EAL/D learners projected to be enrolled in schools over the next four years as a result of </w:t>
      </w:r>
      <w:r w:rsidR="0028796C">
        <w:rPr>
          <w:rFonts w:ascii="Times New Roman" w:hAnsi="Times New Roman" w:cs="Times New Roman"/>
          <w:sz w:val="24"/>
          <w:szCs w:val="24"/>
        </w:rPr>
        <w:t>immigration.</w:t>
      </w:r>
      <w:r w:rsidR="00003039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28796C" w:rsidRPr="001B2D1B">
        <w:rPr>
          <w:rFonts w:ascii="Times New Roman" w:hAnsi="Times New Roman" w:cs="Times New Roman"/>
          <w:sz w:val="24"/>
          <w:szCs w:val="24"/>
        </w:rPr>
        <w:t xml:space="preserve"> </w:t>
      </w:r>
      <w:r w:rsidR="00910F16">
        <w:rPr>
          <w:rFonts w:ascii="Times New Roman" w:hAnsi="Times New Roman" w:cs="Times New Roman"/>
          <w:sz w:val="24"/>
          <w:szCs w:val="24"/>
        </w:rPr>
        <w:t xml:space="preserve"> Given </w:t>
      </w:r>
      <w:r w:rsidR="005C721E">
        <w:rPr>
          <w:rFonts w:ascii="Times New Roman" w:hAnsi="Times New Roman" w:cs="Times New Roman"/>
          <w:sz w:val="24"/>
          <w:szCs w:val="24"/>
        </w:rPr>
        <w:t>growing concerns about</w:t>
      </w:r>
      <w:r w:rsidR="00910F16">
        <w:rPr>
          <w:rFonts w:ascii="Times New Roman" w:hAnsi="Times New Roman" w:cs="Times New Roman"/>
          <w:sz w:val="24"/>
          <w:szCs w:val="24"/>
        </w:rPr>
        <w:t xml:space="preserve"> Indigenous students with EAL/D learning needs, the Commonwealth should also </w:t>
      </w:r>
      <w:r w:rsidR="00234A82">
        <w:rPr>
          <w:rFonts w:ascii="Times New Roman" w:hAnsi="Times New Roman" w:cs="Times New Roman"/>
          <w:sz w:val="24"/>
          <w:szCs w:val="24"/>
        </w:rPr>
        <w:t xml:space="preserve">consider </w:t>
      </w:r>
      <w:r w:rsidR="00910F16">
        <w:rPr>
          <w:rFonts w:ascii="Times New Roman" w:hAnsi="Times New Roman" w:cs="Times New Roman"/>
          <w:sz w:val="24"/>
          <w:szCs w:val="24"/>
        </w:rPr>
        <w:t>resum</w:t>
      </w:r>
      <w:r w:rsidR="00234A82">
        <w:rPr>
          <w:rFonts w:ascii="Times New Roman" w:hAnsi="Times New Roman" w:cs="Times New Roman"/>
          <w:sz w:val="24"/>
          <w:szCs w:val="24"/>
        </w:rPr>
        <w:t>ing</w:t>
      </w:r>
      <w:r w:rsidR="00910F16">
        <w:rPr>
          <w:rFonts w:ascii="Times New Roman" w:hAnsi="Times New Roman" w:cs="Times New Roman"/>
          <w:sz w:val="24"/>
          <w:szCs w:val="24"/>
        </w:rPr>
        <w:t xml:space="preserve"> responsibility for</w:t>
      </w:r>
      <w:r w:rsidR="00910F16" w:rsidRPr="00910F16">
        <w:rPr>
          <w:rFonts w:ascii="Times New Roman" w:hAnsi="Times New Roman" w:cs="Times New Roman"/>
          <w:sz w:val="24"/>
          <w:szCs w:val="24"/>
        </w:rPr>
        <w:t xml:space="preserve"> </w:t>
      </w:r>
      <w:r w:rsidR="00910F16">
        <w:rPr>
          <w:rFonts w:ascii="Times New Roman" w:hAnsi="Times New Roman" w:cs="Times New Roman"/>
          <w:sz w:val="24"/>
          <w:szCs w:val="24"/>
        </w:rPr>
        <w:t>extending intensive English provision to Indigenous students who require it.</w:t>
      </w:r>
    </w:p>
    <w:p w14:paraId="5A9D7953" w14:textId="118C98CE" w:rsidR="00116988" w:rsidRDefault="00BE4D8A" w:rsidP="00116988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term </w:t>
      </w:r>
      <w:r w:rsidR="00AA1EA8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EAL/D education</w:t>
      </w:r>
      <w:r w:rsidR="00AA1EA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used in this briefing</w:t>
      </w:r>
      <w:r w:rsidR="00AA1EA8">
        <w:rPr>
          <w:rFonts w:ascii="Times New Roman" w:hAnsi="Times New Roman" w:cs="Times New Roman"/>
          <w:sz w:val="24"/>
          <w:szCs w:val="24"/>
        </w:rPr>
        <w:t xml:space="preserve"> reflects the systemic nature of EAL/D provision as a complete education infrastructure comprised of many interconnecting parts</w:t>
      </w:r>
      <w:r w:rsidR="00BC1202">
        <w:rPr>
          <w:rFonts w:ascii="Times New Roman" w:hAnsi="Times New Roman" w:cs="Times New Roman"/>
          <w:sz w:val="24"/>
          <w:szCs w:val="24"/>
        </w:rPr>
        <w:t xml:space="preserve">, </w:t>
      </w:r>
      <w:r w:rsidR="00C650DA">
        <w:rPr>
          <w:rFonts w:ascii="Times New Roman" w:hAnsi="Times New Roman" w:cs="Times New Roman"/>
          <w:sz w:val="24"/>
          <w:szCs w:val="24"/>
        </w:rPr>
        <w:t>each contribut</w:t>
      </w:r>
      <w:r w:rsidR="00BC1202">
        <w:rPr>
          <w:rFonts w:ascii="Times New Roman" w:hAnsi="Times New Roman" w:cs="Times New Roman"/>
          <w:sz w:val="24"/>
          <w:szCs w:val="24"/>
        </w:rPr>
        <w:t>ing</w:t>
      </w:r>
      <w:r w:rsidR="00C650DA">
        <w:rPr>
          <w:rFonts w:ascii="Times New Roman" w:hAnsi="Times New Roman" w:cs="Times New Roman"/>
          <w:sz w:val="24"/>
          <w:szCs w:val="24"/>
        </w:rPr>
        <w:t xml:space="preserve"> to</w:t>
      </w:r>
      <w:r w:rsidR="00AA1EA8">
        <w:rPr>
          <w:rFonts w:ascii="Times New Roman" w:hAnsi="Times New Roman" w:cs="Times New Roman"/>
          <w:sz w:val="24"/>
          <w:szCs w:val="24"/>
        </w:rPr>
        <w:t xml:space="preserve"> the </w:t>
      </w:r>
      <w:r w:rsidR="00791FE5">
        <w:rPr>
          <w:rFonts w:ascii="Times New Roman" w:hAnsi="Times New Roman" w:cs="Times New Roman"/>
          <w:sz w:val="24"/>
          <w:szCs w:val="24"/>
        </w:rPr>
        <w:t>effective</w:t>
      </w:r>
      <w:r w:rsidR="00AA1EA8">
        <w:rPr>
          <w:rFonts w:ascii="Times New Roman" w:hAnsi="Times New Roman" w:cs="Times New Roman"/>
          <w:sz w:val="24"/>
          <w:szCs w:val="24"/>
        </w:rPr>
        <w:t xml:space="preserve"> functioning of the </w:t>
      </w:r>
      <w:r w:rsidR="00C650DA">
        <w:rPr>
          <w:rFonts w:ascii="Times New Roman" w:hAnsi="Times New Roman" w:cs="Times New Roman"/>
          <w:sz w:val="24"/>
          <w:szCs w:val="24"/>
        </w:rPr>
        <w:t xml:space="preserve">EAL/D </w:t>
      </w:r>
      <w:proofErr w:type="gramStart"/>
      <w:r w:rsidR="00AA1EA8">
        <w:rPr>
          <w:rFonts w:ascii="Times New Roman" w:hAnsi="Times New Roman" w:cs="Times New Roman"/>
          <w:sz w:val="24"/>
          <w:szCs w:val="24"/>
        </w:rPr>
        <w:t>system</w:t>
      </w:r>
      <w:r w:rsidR="005C721E">
        <w:rPr>
          <w:rFonts w:ascii="Times New Roman" w:hAnsi="Times New Roman" w:cs="Times New Roman"/>
          <w:sz w:val="24"/>
          <w:szCs w:val="24"/>
        </w:rPr>
        <w:t xml:space="preserve"> as a whole</w:t>
      </w:r>
      <w:proofErr w:type="gramEnd"/>
      <w:r w:rsidR="00AA1EA8">
        <w:rPr>
          <w:rFonts w:ascii="Times New Roman" w:hAnsi="Times New Roman" w:cs="Times New Roman"/>
          <w:sz w:val="24"/>
          <w:szCs w:val="24"/>
        </w:rPr>
        <w:t xml:space="preserve">. </w:t>
      </w:r>
      <w:r w:rsidR="00BC1202">
        <w:rPr>
          <w:rFonts w:ascii="Times New Roman" w:hAnsi="Times New Roman" w:cs="Times New Roman"/>
          <w:sz w:val="24"/>
          <w:szCs w:val="24"/>
        </w:rPr>
        <w:t xml:space="preserve">The national policy vacuum in the EAL/D space over the last two decades has led to the </w:t>
      </w:r>
      <w:r w:rsidR="00EA45B2">
        <w:rPr>
          <w:rFonts w:ascii="Times New Roman" w:hAnsi="Times New Roman" w:cs="Times New Roman"/>
          <w:sz w:val="24"/>
          <w:szCs w:val="24"/>
        </w:rPr>
        <w:t xml:space="preserve">substantial </w:t>
      </w:r>
      <w:r w:rsidR="00BC1202">
        <w:rPr>
          <w:rFonts w:ascii="Times New Roman" w:hAnsi="Times New Roman" w:cs="Times New Roman"/>
          <w:sz w:val="24"/>
          <w:szCs w:val="24"/>
        </w:rPr>
        <w:t xml:space="preserve">erosion of system supports that underpin the health and effectiveness of EAL/D education. </w:t>
      </w:r>
      <w:r w:rsidR="00AA1EA8">
        <w:rPr>
          <w:rFonts w:ascii="Times New Roman" w:hAnsi="Times New Roman" w:cs="Times New Roman"/>
          <w:sz w:val="24"/>
          <w:szCs w:val="24"/>
        </w:rPr>
        <w:t xml:space="preserve">Government’s </w:t>
      </w:r>
      <w:r w:rsidR="003A2509">
        <w:rPr>
          <w:rFonts w:ascii="Times New Roman" w:hAnsi="Times New Roman" w:cs="Times New Roman"/>
          <w:sz w:val="24"/>
          <w:szCs w:val="24"/>
        </w:rPr>
        <w:t>efforts</w:t>
      </w:r>
      <w:r w:rsidR="00AA1EA8">
        <w:rPr>
          <w:rFonts w:ascii="Times New Roman" w:hAnsi="Times New Roman" w:cs="Times New Roman"/>
          <w:sz w:val="24"/>
          <w:szCs w:val="24"/>
        </w:rPr>
        <w:t xml:space="preserve"> to create </w:t>
      </w:r>
      <w:r w:rsidR="00415D04" w:rsidRPr="001B2D1B">
        <w:rPr>
          <w:rFonts w:ascii="Times New Roman" w:hAnsi="Times New Roman" w:cs="Times New Roman"/>
          <w:sz w:val="24"/>
          <w:szCs w:val="24"/>
        </w:rPr>
        <w:t>a better and fairer Australian education system</w:t>
      </w:r>
      <w:r w:rsidR="003A2509">
        <w:rPr>
          <w:rFonts w:ascii="Times New Roman" w:hAnsi="Times New Roman" w:cs="Times New Roman"/>
          <w:sz w:val="24"/>
          <w:szCs w:val="24"/>
        </w:rPr>
        <w:t xml:space="preserve"> therefore need to be applied to</w:t>
      </w:r>
      <w:r w:rsidR="003A2509" w:rsidRPr="003A2509">
        <w:rPr>
          <w:rFonts w:ascii="Times New Roman" w:hAnsi="Times New Roman" w:cs="Times New Roman"/>
          <w:sz w:val="24"/>
          <w:szCs w:val="24"/>
        </w:rPr>
        <w:t xml:space="preserve"> </w:t>
      </w:r>
      <w:r w:rsidR="003A2509">
        <w:rPr>
          <w:rFonts w:ascii="Times New Roman" w:hAnsi="Times New Roman" w:cs="Times New Roman"/>
          <w:sz w:val="24"/>
          <w:szCs w:val="24"/>
        </w:rPr>
        <w:t>EAL/D education as a whole</w:t>
      </w:r>
      <w:r w:rsidR="00234A82">
        <w:rPr>
          <w:rFonts w:ascii="Times New Roman" w:hAnsi="Times New Roman" w:cs="Times New Roman"/>
          <w:sz w:val="24"/>
          <w:szCs w:val="24"/>
        </w:rPr>
        <w:t xml:space="preserve"> and</w:t>
      </w:r>
      <w:r w:rsidR="00BC1202">
        <w:rPr>
          <w:rFonts w:ascii="Times New Roman" w:hAnsi="Times New Roman" w:cs="Times New Roman"/>
          <w:sz w:val="24"/>
          <w:szCs w:val="24"/>
        </w:rPr>
        <w:t xml:space="preserve"> </w:t>
      </w:r>
      <w:r w:rsidR="00EA45B2">
        <w:rPr>
          <w:rFonts w:ascii="Times New Roman" w:hAnsi="Times New Roman" w:cs="Times New Roman"/>
          <w:sz w:val="24"/>
          <w:szCs w:val="24"/>
        </w:rPr>
        <w:t xml:space="preserve">together </w:t>
      </w:r>
      <w:r w:rsidR="00BC1202">
        <w:rPr>
          <w:rFonts w:ascii="Times New Roman" w:hAnsi="Times New Roman" w:cs="Times New Roman"/>
          <w:sz w:val="24"/>
          <w:szCs w:val="24"/>
        </w:rPr>
        <w:t>with its system supports</w:t>
      </w:r>
      <w:r w:rsidR="003A2509">
        <w:rPr>
          <w:rFonts w:ascii="Times New Roman" w:hAnsi="Times New Roman" w:cs="Times New Roman"/>
          <w:sz w:val="24"/>
          <w:szCs w:val="24"/>
        </w:rPr>
        <w:t>.</w:t>
      </w:r>
      <w:r w:rsidR="00116988">
        <w:rPr>
          <w:rFonts w:ascii="Times New Roman" w:hAnsi="Times New Roman" w:cs="Times New Roman"/>
          <w:sz w:val="24"/>
          <w:szCs w:val="24"/>
        </w:rPr>
        <w:t xml:space="preserve"> The attached</w:t>
      </w:r>
      <w:r w:rsidR="00791FE5">
        <w:rPr>
          <w:rFonts w:ascii="Times New Roman" w:hAnsi="Times New Roman" w:cs="Times New Roman"/>
          <w:sz w:val="24"/>
          <w:szCs w:val="24"/>
        </w:rPr>
        <w:t xml:space="preserve"> draft</w:t>
      </w:r>
      <w:r w:rsidR="00116988">
        <w:rPr>
          <w:rFonts w:ascii="Times New Roman" w:hAnsi="Times New Roman" w:cs="Times New Roman"/>
          <w:sz w:val="24"/>
          <w:szCs w:val="24"/>
        </w:rPr>
        <w:t xml:space="preserve"> </w:t>
      </w:r>
      <w:r w:rsidR="00116988" w:rsidRPr="00116988">
        <w:rPr>
          <w:rFonts w:ascii="Times New Roman" w:hAnsi="Times New Roman" w:cs="Times New Roman"/>
          <w:i/>
          <w:iCs/>
          <w:sz w:val="24"/>
          <w:szCs w:val="24"/>
        </w:rPr>
        <w:t xml:space="preserve">Australian Performance Framework for </w:t>
      </w:r>
      <w:r w:rsidR="00C650DA" w:rsidRPr="00116988">
        <w:rPr>
          <w:rFonts w:ascii="Times New Roman" w:hAnsi="Times New Roman" w:cs="Times New Roman"/>
          <w:i/>
          <w:iCs/>
          <w:sz w:val="24"/>
          <w:szCs w:val="24"/>
        </w:rPr>
        <w:t>EALD education</w:t>
      </w:r>
      <w:r w:rsidR="00C650DA">
        <w:rPr>
          <w:rFonts w:ascii="Times New Roman" w:hAnsi="Times New Roman" w:cs="Times New Roman"/>
          <w:sz w:val="24"/>
          <w:szCs w:val="24"/>
        </w:rPr>
        <w:t xml:space="preserve"> </w:t>
      </w:r>
      <w:r w:rsidR="00116988">
        <w:rPr>
          <w:rFonts w:ascii="Times New Roman" w:hAnsi="Times New Roman" w:cs="Times New Roman"/>
          <w:sz w:val="24"/>
          <w:szCs w:val="24"/>
        </w:rPr>
        <w:t xml:space="preserve">shows </w:t>
      </w:r>
      <w:r w:rsidR="00116988" w:rsidRPr="00C650DA">
        <w:rPr>
          <w:rFonts w:ascii="Times New Roman" w:hAnsi="Times New Roman" w:cs="Times New Roman"/>
          <w:sz w:val="24"/>
          <w:szCs w:val="24"/>
        </w:rPr>
        <w:t xml:space="preserve">EAL/D </w:t>
      </w:r>
      <w:r w:rsidR="00116988">
        <w:rPr>
          <w:rFonts w:ascii="Times New Roman" w:hAnsi="Times New Roman" w:cs="Times New Roman"/>
          <w:sz w:val="24"/>
          <w:szCs w:val="24"/>
        </w:rPr>
        <w:t xml:space="preserve">education </w:t>
      </w:r>
      <w:r w:rsidR="00C650DA">
        <w:rPr>
          <w:rFonts w:ascii="Times New Roman" w:hAnsi="Times New Roman" w:cs="Times New Roman"/>
          <w:sz w:val="24"/>
          <w:szCs w:val="24"/>
        </w:rPr>
        <w:t>as a comp</w:t>
      </w:r>
      <w:r w:rsidR="00EA45B2">
        <w:rPr>
          <w:rFonts w:ascii="Times New Roman" w:hAnsi="Times New Roman" w:cs="Times New Roman"/>
          <w:sz w:val="24"/>
          <w:szCs w:val="24"/>
        </w:rPr>
        <w:t xml:space="preserve">rehensive </w:t>
      </w:r>
      <w:r w:rsidR="00C650DA">
        <w:rPr>
          <w:rFonts w:ascii="Times New Roman" w:hAnsi="Times New Roman" w:cs="Times New Roman"/>
          <w:sz w:val="24"/>
          <w:szCs w:val="24"/>
        </w:rPr>
        <w:t>education system</w:t>
      </w:r>
      <w:r w:rsidR="00116988">
        <w:rPr>
          <w:rFonts w:ascii="Times New Roman" w:hAnsi="Times New Roman" w:cs="Times New Roman"/>
          <w:sz w:val="24"/>
          <w:szCs w:val="24"/>
        </w:rPr>
        <w:t xml:space="preserve"> with its essential </w:t>
      </w:r>
      <w:r w:rsidR="00BC1202">
        <w:rPr>
          <w:rFonts w:ascii="Times New Roman" w:hAnsi="Times New Roman" w:cs="Times New Roman"/>
          <w:sz w:val="24"/>
          <w:szCs w:val="24"/>
        </w:rPr>
        <w:t>supporting</w:t>
      </w:r>
      <w:r w:rsidR="00116988">
        <w:rPr>
          <w:rFonts w:ascii="Times New Roman" w:hAnsi="Times New Roman" w:cs="Times New Roman"/>
          <w:sz w:val="24"/>
          <w:szCs w:val="24"/>
        </w:rPr>
        <w:t xml:space="preserve"> elements. It</w:t>
      </w:r>
      <w:r w:rsidR="00C650DA" w:rsidRPr="00C650DA">
        <w:rPr>
          <w:rFonts w:ascii="Times New Roman" w:hAnsi="Times New Roman" w:cs="Times New Roman"/>
          <w:sz w:val="24"/>
          <w:szCs w:val="24"/>
        </w:rPr>
        <w:t xml:space="preserve"> </w:t>
      </w:r>
      <w:r w:rsidR="00C650DA">
        <w:rPr>
          <w:rFonts w:ascii="Times New Roman" w:hAnsi="Times New Roman" w:cs="Times New Roman"/>
          <w:sz w:val="24"/>
          <w:szCs w:val="24"/>
        </w:rPr>
        <w:t xml:space="preserve">provides </w:t>
      </w:r>
      <w:r w:rsidR="00BC1202">
        <w:rPr>
          <w:rFonts w:ascii="Times New Roman" w:hAnsi="Times New Roman" w:cs="Times New Roman"/>
          <w:sz w:val="24"/>
          <w:szCs w:val="24"/>
        </w:rPr>
        <w:t xml:space="preserve">a </w:t>
      </w:r>
      <w:r w:rsidR="00791FE5">
        <w:rPr>
          <w:rFonts w:ascii="Times New Roman" w:hAnsi="Times New Roman" w:cs="Times New Roman"/>
          <w:sz w:val="24"/>
          <w:szCs w:val="24"/>
        </w:rPr>
        <w:t xml:space="preserve">scheme </w:t>
      </w:r>
      <w:r w:rsidR="00BC1202">
        <w:rPr>
          <w:rFonts w:ascii="Times New Roman" w:hAnsi="Times New Roman" w:cs="Times New Roman"/>
          <w:sz w:val="24"/>
          <w:szCs w:val="24"/>
        </w:rPr>
        <w:t xml:space="preserve">of </w:t>
      </w:r>
      <w:r w:rsidR="00EA45B2">
        <w:rPr>
          <w:rFonts w:ascii="Times New Roman" w:hAnsi="Times New Roman" w:cs="Times New Roman"/>
          <w:sz w:val="24"/>
          <w:szCs w:val="24"/>
        </w:rPr>
        <w:t>the</w:t>
      </w:r>
      <w:r w:rsidR="005C721E">
        <w:rPr>
          <w:rFonts w:ascii="Times New Roman" w:hAnsi="Times New Roman" w:cs="Times New Roman"/>
          <w:sz w:val="24"/>
          <w:szCs w:val="24"/>
        </w:rPr>
        <w:t xml:space="preserve"> </w:t>
      </w:r>
      <w:r w:rsidR="00EA45B2">
        <w:rPr>
          <w:rFonts w:ascii="Times New Roman" w:hAnsi="Times New Roman" w:cs="Times New Roman"/>
          <w:sz w:val="24"/>
          <w:szCs w:val="24"/>
        </w:rPr>
        <w:t xml:space="preserve">kind of </w:t>
      </w:r>
      <w:r w:rsidR="00791FE5" w:rsidRPr="00C650DA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C650DA" w:rsidRPr="00C650DA">
        <w:rPr>
          <w:rFonts w:ascii="Times New Roman" w:hAnsi="Times New Roman" w:cs="Times New Roman"/>
          <w:sz w:val="24"/>
          <w:szCs w:val="24"/>
        </w:rPr>
        <w:t xml:space="preserve">national performance framework </w:t>
      </w:r>
      <w:r w:rsidR="00BC1202">
        <w:rPr>
          <w:rFonts w:ascii="Times New Roman" w:hAnsi="Times New Roman" w:cs="Times New Roman"/>
          <w:sz w:val="24"/>
          <w:szCs w:val="24"/>
        </w:rPr>
        <w:t xml:space="preserve">needed </w:t>
      </w:r>
      <w:r w:rsidR="00C650DA" w:rsidRPr="00C650DA">
        <w:rPr>
          <w:rFonts w:ascii="Times New Roman" w:hAnsi="Times New Roman" w:cs="Times New Roman"/>
          <w:sz w:val="24"/>
          <w:szCs w:val="24"/>
        </w:rPr>
        <w:t xml:space="preserve">to drive measurable </w:t>
      </w:r>
      <w:r w:rsidR="00116988">
        <w:rPr>
          <w:rFonts w:ascii="Times New Roman" w:hAnsi="Times New Roman" w:cs="Times New Roman"/>
          <w:sz w:val="24"/>
          <w:szCs w:val="24"/>
        </w:rPr>
        <w:t>and transparent improvements</w:t>
      </w:r>
      <w:r w:rsidR="00C650DA" w:rsidRPr="00C650DA">
        <w:rPr>
          <w:rFonts w:ascii="Times New Roman" w:hAnsi="Times New Roman" w:cs="Times New Roman"/>
          <w:sz w:val="24"/>
          <w:szCs w:val="24"/>
        </w:rPr>
        <w:t xml:space="preserve"> </w:t>
      </w:r>
      <w:r w:rsidR="00116988">
        <w:rPr>
          <w:rFonts w:ascii="Times New Roman" w:hAnsi="Times New Roman" w:cs="Times New Roman"/>
          <w:sz w:val="24"/>
          <w:szCs w:val="24"/>
        </w:rPr>
        <w:t>in</w:t>
      </w:r>
      <w:r w:rsidR="00C650DA" w:rsidRPr="00C650DA">
        <w:rPr>
          <w:rFonts w:ascii="Times New Roman" w:hAnsi="Times New Roman" w:cs="Times New Roman"/>
          <w:sz w:val="24"/>
          <w:szCs w:val="24"/>
        </w:rPr>
        <w:t xml:space="preserve"> education systems’ EAL/D </w:t>
      </w:r>
      <w:r w:rsidR="00116988">
        <w:rPr>
          <w:rFonts w:ascii="Times New Roman" w:hAnsi="Times New Roman" w:cs="Times New Roman"/>
          <w:sz w:val="24"/>
          <w:szCs w:val="24"/>
        </w:rPr>
        <w:t>provision</w:t>
      </w:r>
      <w:r w:rsidR="005C721E">
        <w:rPr>
          <w:rFonts w:ascii="Times New Roman" w:hAnsi="Times New Roman" w:cs="Times New Roman"/>
          <w:sz w:val="24"/>
          <w:szCs w:val="24"/>
        </w:rPr>
        <w:t xml:space="preserve"> over the life of the NSRA and beyond</w:t>
      </w:r>
      <w:r w:rsidR="00116988">
        <w:rPr>
          <w:rFonts w:ascii="Times New Roman" w:hAnsi="Times New Roman" w:cs="Times New Roman"/>
          <w:sz w:val="24"/>
          <w:szCs w:val="24"/>
        </w:rPr>
        <w:t>.</w:t>
      </w:r>
    </w:p>
    <w:sectPr w:rsidR="00116988" w:rsidSect="009562F3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9C22" w14:textId="77777777" w:rsidR="00D81D4E" w:rsidRDefault="00D81D4E" w:rsidP="00D81D4E">
      <w:pPr>
        <w:spacing w:after="0" w:line="240" w:lineRule="auto"/>
      </w:pPr>
      <w:r>
        <w:separator/>
      </w:r>
    </w:p>
  </w:endnote>
  <w:endnote w:type="continuationSeparator" w:id="0">
    <w:p w14:paraId="12938E57" w14:textId="77777777" w:rsidR="00D81D4E" w:rsidRDefault="00D81D4E" w:rsidP="00D8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087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ED860" w14:textId="40AC9DC3" w:rsidR="004657CD" w:rsidRDefault="00465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864BD" w14:textId="77777777" w:rsidR="004657CD" w:rsidRDefault="00465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7379" w14:textId="77777777" w:rsidR="00D81D4E" w:rsidRDefault="00D81D4E" w:rsidP="00D81D4E">
      <w:pPr>
        <w:spacing w:after="0" w:line="240" w:lineRule="auto"/>
      </w:pPr>
      <w:r>
        <w:separator/>
      </w:r>
    </w:p>
  </w:footnote>
  <w:footnote w:type="continuationSeparator" w:id="0">
    <w:p w14:paraId="25A8377D" w14:textId="77777777" w:rsidR="00D81D4E" w:rsidRDefault="00D81D4E" w:rsidP="00D81D4E">
      <w:pPr>
        <w:spacing w:after="0" w:line="240" w:lineRule="auto"/>
      </w:pPr>
      <w:r>
        <w:continuationSeparator/>
      </w:r>
    </w:p>
  </w:footnote>
  <w:footnote w:id="1">
    <w:p w14:paraId="1A8217A6" w14:textId="7C408355" w:rsidR="00CF14C4" w:rsidRPr="00CF14C4" w:rsidRDefault="00CF14C4" w:rsidP="00F653D3">
      <w:pPr>
        <w:pStyle w:val="FootnoteText"/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542E7">
        <w:t>F</w:t>
      </w:r>
      <w:r w:rsidR="00E85938">
        <w:t xml:space="preserve">or how flexible school-based resource management has decimated the demand for EAL/D teachers, see section 5 of </w:t>
      </w:r>
      <w:hyperlink r:id="rId1" w:history="1">
        <w:r w:rsidR="00E85938">
          <w:rPr>
            <w:rStyle w:val="Hyperlink"/>
          </w:rPr>
          <w:t>Submission DR124 - Australian Council of TESOL Associations (ACTA) - National School Reform Agreement - Commissioned study (pc.gov.au)</w:t>
        </w:r>
      </w:hyperlink>
      <w:r w:rsidR="00877980">
        <w:t xml:space="preserve">. See also Submission 108 to the 2017 Inquiry into Migrant Settlement Outcomes at </w:t>
      </w:r>
      <w:hyperlink r:id="rId2" w:history="1">
        <w:r w:rsidR="00877980">
          <w:rPr>
            <w:rStyle w:val="Hyperlink"/>
          </w:rPr>
          <w:t>Submissions – Parliament of Australia (aph.gov.au)</w:t>
        </w:r>
      </w:hyperlink>
      <w:r w:rsidR="00877980">
        <w:t xml:space="preserve"> </w:t>
      </w:r>
    </w:p>
  </w:footnote>
  <w:footnote w:id="2">
    <w:p w14:paraId="6FA1345C" w14:textId="4DCB025A" w:rsidR="00A055EB" w:rsidRPr="00A055EB" w:rsidRDefault="00A055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E85938">
          <w:rPr>
            <w:rStyle w:val="Hyperlink"/>
          </w:rPr>
          <w:t>Roadmap-for-English-as-an-additional-language-or-dialect-in-schools-ACTA-May-2022.pdf (tesol.org.au)</w:t>
        </w:r>
      </w:hyperlink>
    </w:p>
  </w:footnote>
  <w:footnote w:id="3">
    <w:p w14:paraId="6C94DDFA" w14:textId="63B508CB" w:rsidR="00F542E7" w:rsidRDefault="00E61889" w:rsidP="00F653D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F542E7">
        <w:t xml:space="preserve">Re </w:t>
      </w:r>
      <w:r w:rsidR="00784632">
        <w:t xml:space="preserve">the ELP loading and </w:t>
      </w:r>
      <w:r w:rsidR="00F542E7">
        <w:t xml:space="preserve">lack of accountability on </w:t>
      </w:r>
      <w:r w:rsidR="00784632">
        <w:t xml:space="preserve">its </w:t>
      </w:r>
      <w:r w:rsidR="00F542E7">
        <w:t>use, see Action</w:t>
      </w:r>
      <w:r w:rsidR="00784632">
        <w:t>s 1 and</w:t>
      </w:r>
      <w:r w:rsidR="00F542E7">
        <w:t xml:space="preserve"> 11 in </w:t>
      </w:r>
      <w:hyperlink r:id="rId4" w:history="1">
        <w:r w:rsidR="00F542E7">
          <w:rPr>
            <w:rStyle w:val="Hyperlink"/>
          </w:rPr>
          <w:t>Roadmap-for-English-as-an-additional-language-or-dialect-in-schools-ACTA-May-2022.pdf (tesol.org.au)</w:t>
        </w:r>
      </w:hyperlink>
    </w:p>
    <w:p w14:paraId="322F47BE" w14:textId="5BF51180" w:rsidR="00E61889" w:rsidRPr="00E85938" w:rsidRDefault="00E85938" w:rsidP="00F653D3">
      <w:pPr>
        <w:pStyle w:val="FootnoteText"/>
        <w:spacing w:after="0" w:line="240" w:lineRule="auto"/>
      </w:pPr>
      <w:r>
        <w:t xml:space="preserve">ACTA’s submission to the Productivity Commission NSRA Review. </w:t>
      </w:r>
      <w:hyperlink r:id="rId5" w:history="1">
        <w:r>
          <w:rPr>
            <w:rStyle w:val="Hyperlink"/>
          </w:rPr>
          <w:t>Submission DR124 - Australian Council of TESOL Associations (ACTA) - National School Reform Agreement - Commissioned study (pc.gov.au)</w:t>
        </w:r>
      </w:hyperlink>
    </w:p>
  </w:footnote>
  <w:footnote w:id="4">
    <w:p w14:paraId="6DEBBFFE" w14:textId="39A300C8" w:rsidR="00F542E7" w:rsidRPr="00F542E7" w:rsidRDefault="00F542E7" w:rsidP="00F653D3">
      <w:pPr>
        <w:pStyle w:val="FootnoteText"/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57576">
        <w:t xml:space="preserve">ACTA’s submission to the Productivity Commission NSRA Review provided a detailed analysis of the </w:t>
      </w:r>
      <w:r w:rsidR="00F31468">
        <w:t xml:space="preserve">key </w:t>
      </w:r>
      <w:r w:rsidR="00957576">
        <w:t xml:space="preserve">role of school leadership in creating a positive learning environment for EAL/D learners: see section 6 of </w:t>
      </w:r>
      <w:hyperlink r:id="rId6" w:history="1">
        <w:r w:rsidR="00957576">
          <w:rPr>
            <w:rStyle w:val="Hyperlink"/>
          </w:rPr>
          <w:t>Submission DR124 - Australian Council of TESOL Associations (ACTA) - National School Reform Agreement - Commissioned study (pc.gov.au)</w:t>
        </w:r>
      </w:hyperlink>
    </w:p>
  </w:footnote>
  <w:footnote w:id="5">
    <w:p w14:paraId="322F843B" w14:textId="7C082D65" w:rsidR="005008FD" w:rsidRPr="00F542E7" w:rsidRDefault="00F542E7" w:rsidP="00F653D3">
      <w:pPr>
        <w:pStyle w:val="FootnoteText"/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20020">
        <w:t xml:space="preserve">For lack of data and data collection targets on EAL/D learning in the Closing the Gap Agreement, </w:t>
      </w:r>
      <w:r w:rsidR="00DA4103">
        <w:t>the siloing of Indigenous languages and the failure to consider English language learning needs in the Closing the Gap Agreement, see</w:t>
      </w:r>
      <w:r w:rsidR="00720020">
        <w:t xml:space="preserve"> </w:t>
      </w:r>
      <w:hyperlink r:id="rId7" w:history="1">
        <w:r w:rsidR="00DA4103">
          <w:rPr>
            <w:rStyle w:val="Hyperlink"/>
          </w:rPr>
          <w:t>Submission 11 - Australian Council of TESOL Associations (ACTA) - Closing the Gap Review - Commissioned study (pc.gov.au)</w:t>
        </w:r>
      </w:hyperlink>
      <w:r w:rsidR="00DA4103" w:rsidRPr="00DA4103">
        <w:t xml:space="preserve"> </w:t>
      </w:r>
      <w:r w:rsidR="00DA4103">
        <w:t>and</w:t>
      </w:r>
      <w:r w:rsidR="00720020">
        <w:t xml:space="preserve"> </w:t>
      </w:r>
      <w:r w:rsidR="00DA4103">
        <w:t xml:space="preserve"> </w:t>
      </w:r>
      <w:hyperlink r:id="rId8" w:history="1">
        <w:r w:rsidR="00DA4103">
          <w:rPr>
            <w:rStyle w:val="Hyperlink"/>
          </w:rPr>
          <w:t>Submission DR179 - Australian Council of TESOL Associations (ACTA) - Indigenous Evaluation Strategy - Project (pc.gov.au)</w:t>
        </w:r>
      </w:hyperlink>
      <w:r w:rsidR="005008FD">
        <w:t>. Re what can be achieved in bilingual/bicultural/biliteracy programs for Indigenous EAL/D learners, see Problem 4 in 2021/22</w:t>
      </w:r>
      <w:r w:rsidR="00720020">
        <w:t xml:space="preserve"> see </w:t>
      </w:r>
      <w:hyperlink r:id="rId9" w:history="1">
        <w:r w:rsidR="005008FD">
          <w:rPr>
            <w:rStyle w:val="Hyperlink"/>
          </w:rPr>
          <w:t>ATESOL-NT-Supplementary-Submission-to-the-Inquiry-into-Adult-Literacy-and-its-Importance.pdf (atesolnt.org.au)</w:t>
        </w:r>
      </w:hyperlink>
      <w:r w:rsidR="001778BC">
        <w:t xml:space="preserve">.  Re a coherent approach to Indigenous languages and learning English, see </w:t>
      </w:r>
      <w:hyperlink r:id="rId10" w:history="1">
        <w:r w:rsidR="001778BC">
          <w:rPr>
            <w:rStyle w:val="Hyperlink"/>
          </w:rPr>
          <w:t>ACTA's Response to First Languages Australia paper Indigenous Languages Priorities 21 April 2023 - ATESOL NT</w:t>
        </w:r>
      </w:hyperlink>
    </w:p>
  </w:footnote>
  <w:footnote w:id="6">
    <w:p w14:paraId="106B18FC" w14:textId="5F5424A8" w:rsidR="00DA4103" w:rsidRDefault="00D616B7" w:rsidP="00F653D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DA4103">
        <w:t xml:space="preserve">Re ATISL Standards, mandatory EAL/D content in ITE, specialist EAL/D qualifications and on-going teacher development, see Actions 5, 6 &amp; 7 in </w:t>
      </w:r>
      <w:hyperlink r:id="rId11" w:history="1">
        <w:r w:rsidR="00DA4103">
          <w:rPr>
            <w:rStyle w:val="Hyperlink"/>
          </w:rPr>
          <w:t>Roadmap-for-English-as-an-additional-language-or-dialect-in-schools-ACTA-May-2022.pdf (tesol.org.au)</w:t>
        </w:r>
      </w:hyperlink>
      <w:r w:rsidR="00DA4103">
        <w:t xml:space="preserve"> and sections 2.1 </w:t>
      </w:r>
    </w:p>
    <w:p w14:paraId="58606CB1" w14:textId="1E403122" w:rsidR="00DA4103" w:rsidRPr="00DA4103" w:rsidRDefault="00DA4103" w:rsidP="00F653D3">
      <w:pPr>
        <w:pStyle w:val="FootnoteText"/>
        <w:spacing w:after="0" w:line="240" w:lineRule="auto"/>
      </w:pPr>
      <w:r>
        <w:t xml:space="preserve">and 2.2 in </w:t>
      </w:r>
      <w:r w:rsidRPr="00DA4103">
        <w:rPr>
          <w:u w:val="single"/>
        </w:rPr>
        <w:t>ACTA-final-submission-Quality-Initial-Teacher-EducationReview.pdf (tesol.org.au</w:t>
      </w:r>
      <w:r>
        <w:t xml:space="preserve">) </w:t>
      </w:r>
    </w:p>
  </w:footnote>
  <w:footnote w:id="7">
    <w:p w14:paraId="65667CA8" w14:textId="67003AF6" w:rsidR="00DA4103" w:rsidRDefault="00D616B7" w:rsidP="00F653D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DA4103">
        <w:t xml:space="preserve">For a comprehensive coverage of EAL/D teacher supply issues, see section 5 of </w:t>
      </w:r>
      <w:hyperlink r:id="rId12" w:history="1">
        <w:r w:rsidR="00DA4103">
          <w:rPr>
            <w:rStyle w:val="Hyperlink"/>
          </w:rPr>
          <w:t>Submission DR124 - Australian Council of TESOL Associations (ACTA) - National School Reform Agreement - Commissioned study (pc.gov.au)</w:t>
        </w:r>
      </w:hyperlink>
      <w:r w:rsidR="00DA4103">
        <w:t xml:space="preserve"> See also</w:t>
      </w:r>
      <w:r w:rsidR="00D77217">
        <w:t xml:space="preserve"> </w:t>
      </w:r>
      <w:hyperlink r:id="rId13" w:history="1">
        <w:r w:rsidR="00D77217">
          <w:rPr>
            <w:rStyle w:val="Hyperlink"/>
          </w:rPr>
          <w:t>ACTA-submission-National-Teacher-Workforce-Action-Plan-final.pdf (tesol.org.au)</w:t>
        </w:r>
      </w:hyperlink>
      <w:r w:rsidR="00DA4103">
        <w:t xml:space="preserve"> </w:t>
      </w:r>
    </w:p>
    <w:p w14:paraId="17E861E0" w14:textId="5434E3F2" w:rsidR="00D616B7" w:rsidRPr="00740DB2" w:rsidRDefault="00D616B7" w:rsidP="00F653D3">
      <w:pPr>
        <w:pStyle w:val="FootnoteText"/>
        <w:spacing w:after="0" w:line="240" w:lineRule="auto"/>
        <w:rPr>
          <w:lang w:val="en-US"/>
        </w:rPr>
      </w:pPr>
    </w:p>
  </w:footnote>
  <w:footnote w:id="8">
    <w:p w14:paraId="647EB73C" w14:textId="20B5F9C5" w:rsidR="00AA444B" w:rsidRPr="00DA4103" w:rsidRDefault="00AA444B" w:rsidP="00D77217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="00DA4103">
        <w:t xml:space="preserve">Re Teacher Education in the Higher Education Accord, see: </w:t>
      </w:r>
      <w:hyperlink r:id="rId14" w:history="1">
        <w:r w:rsidR="00DA4103">
          <w:rPr>
            <w:rStyle w:val="Hyperlink"/>
          </w:rPr>
          <w:t>AUA_tranche3_Australian Council of TESOL Associations.pdf (education.gov.au)</w:t>
        </w:r>
      </w:hyperlink>
    </w:p>
  </w:footnote>
  <w:footnote w:id="9">
    <w:p w14:paraId="22D2F93C" w14:textId="0A73CDAC" w:rsidR="00C153A5" w:rsidRPr="00C153A5" w:rsidRDefault="00C153A5" w:rsidP="00D77217">
      <w:pPr>
        <w:pStyle w:val="FootnoteText"/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20020">
        <w:t>For a comprehensive coverage of issues in initial teacher education relating to EAL/D learners, see</w:t>
      </w:r>
      <w:r w:rsidR="00F31468">
        <w:t xml:space="preserve"> 2023 </w:t>
      </w:r>
      <w:hyperlink r:id="rId15" w:history="1">
        <w:r w:rsidR="00F31468">
          <w:rPr>
            <w:rStyle w:val="Hyperlink"/>
          </w:rPr>
          <w:t>ACTA-submission-on-the-Teacher-Education-Expert-Panel-Discussion-Paper.pdf (tesol.org.au)</w:t>
        </w:r>
      </w:hyperlink>
      <w:r w:rsidR="00F31468">
        <w:t>. See also 2021</w:t>
      </w:r>
      <w:r w:rsidR="00720020">
        <w:t xml:space="preserve"> </w:t>
      </w:r>
      <w:hyperlink r:id="rId16" w:history="1">
        <w:r w:rsidR="00F31468">
          <w:rPr>
            <w:rStyle w:val="Hyperlink"/>
          </w:rPr>
          <w:t>ACTA-final-submission-Quality-Initial-Teacher-Education-Review.pdf (tesol.org.au)</w:t>
        </w:r>
      </w:hyperlink>
    </w:p>
  </w:footnote>
  <w:footnote w:id="10">
    <w:p w14:paraId="58CC8F27" w14:textId="156ABEA7" w:rsidR="00003039" w:rsidRPr="00003039" w:rsidRDefault="00003039" w:rsidP="00D77217">
      <w:pPr>
        <w:pStyle w:val="FootnoteText"/>
        <w:spacing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717EC">
        <w:t xml:space="preserve">ACTA identified that there were approximately 600,000 EAL/D learners in Australian schools. See </w:t>
      </w:r>
      <w:hyperlink r:id="rId17" w:history="1">
        <w:r w:rsidR="00DA4103">
          <w:rPr>
            <w:rStyle w:val="Hyperlink"/>
          </w:rPr>
          <w:t>2021 October -How many English as an Additional Language or Dialect (EAL/D) Learners are there in Australian Schools? – Australian Council of TESOL Associations</w:t>
        </w:r>
      </w:hyperlink>
      <w:r w:rsidR="009717EC">
        <w:t xml:space="preserve">. Despite </w:t>
      </w:r>
      <w:r w:rsidR="00C71B94">
        <w:t>a notable</w:t>
      </w:r>
      <w:r w:rsidR="009717EC">
        <w:t xml:space="preserve"> decline in EAL/D student numbers </w:t>
      </w:r>
      <w:r w:rsidR="009717EC" w:rsidRPr="005A48C0">
        <w:rPr>
          <w:szCs w:val="24"/>
        </w:rPr>
        <w:t>in 2020</w:t>
      </w:r>
      <w:r w:rsidR="009717EC">
        <w:rPr>
          <w:szCs w:val="24"/>
        </w:rPr>
        <w:t xml:space="preserve"> </w:t>
      </w:r>
      <w:r w:rsidR="009717EC">
        <w:t xml:space="preserve">during COVID, </w:t>
      </w:r>
      <w:r w:rsidR="00C71B94">
        <w:t>the growth trend has resumed. Based on these trends, an additional 200,000 EAL/D learners are projected to be in schools over the next four years.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7D2"/>
    <w:multiLevelType w:val="hybridMultilevel"/>
    <w:tmpl w:val="0F4C3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6B65"/>
    <w:multiLevelType w:val="hybridMultilevel"/>
    <w:tmpl w:val="AF3CFCF8"/>
    <w:lvl w:ilvl="0" w:tplc="9F180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2AF6"/>
    <w:multiLevelType w:val="hybridMultilevel"/>
    <w:tmpl w:val="012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F5581"/>
    <w:multiLevelType w:val="hybridMultilevel"/>
    <w:tmpl w:val="0824A436"/>
    <w:lvl w:ilvl="0" w:tplc="3848A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13AEA"/>
    <w:multiLevelType w:val="hybridMultilevel"/>
    <w:tmpl w:val="BEAE8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27A"/>
    <w:multiLevelType w:val="hybridMultilevel"/>
    <w:tmpl w:val="D6BE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46D21"/>
    <w:multiLevelType w:val="multilevel"/>
    <w:tmpl w:val="983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465538">
    <w:abstractNumId w:val="5"/>
  </w:num>
  <w:num w:numId="2" w16cid:durableId="589392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986588">
    <w:abstractNumId w:val="3"/>
  </w:num>
  <w:num w:numId="4" w16cid:durableId="496967136">
    <w:abstractNumId w:val="1"/>
  </w:num>
  <w:num w:numId="5" w16cid:durableId="1570653354">
    <w:abstractNumId w:val="2"/>
  </w:num>
  <w:num w:numId="6" w16cid:durableId="71124571">
    <w:abstractNumId w:val="0"/>
  </w:num>
  <w:num w:numId="7" w16cid:durableId="2098211617">
    <w:abstractNumId w:val="4"/>
  </w:num>
  <w:num w:numId="8" w16cid:durableId="1016998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5F"/>
    <w:rsid w:val="00003039"/>
    <w:rsid w:val="0000464E"/>
    <w:rsid w:val="0000478C"/>
    <w:rsid w:val="00012D27"/>
    <w:rsid w:val="000362D4"/>
    <w:rsid w:val="000701EA"/>
    <w:rsid w:val="0007691D"/>
    <w:rsid w:val="00076E41"/>
    <w:rsid w:val="000A0FC9"/>
    <w:rsid w:val="000A19F5"/>
    <w:rsid w:val="000B04E4"/>
    <w:rsid w:val="000C0460"/>
    <w:rsid w:val="000C1474"/>
    <w:rsid w:val="000C5D08"/>
    <w:rsid w:val="000D72B1"/>
    <w:rsid w:val="000E60FB"/>
    <w:rsid w:val="00114C15"/>
    <w:rsid w:val="00116988"/>
    <w:rsid w:val="00122DEA"/>
    <w:rsid w:val="00131DCD"/>
    <w:rsid w:val="001473F9"/>
    <w:rsid w:val="0017674C"/>
    <w:rsid w:val="001778BC"/>
    <w:rsid w:val="00177A18"/>
    <w:rsid w:val="001A09BB"/>
    <w:rsid w:val="001B2D1B"/>
    <w:rsid w:val="001B3FCA"/>
    <w:rsid w:val="001B61DB"/>
    <w:rsid w:val="001E3147"/>
    <w:rsid w:val="001E789E"/>
    <w:rsid w:val="001F4FB2"/>
    <w:rsid w:val="001F56B0"/>
    <w:rsid w:val="00205309"/>
    <w:rsid w:val="002074AC"/>
    <w:rsid w:val="002202CD"/>
    <w:rsid w:val="00222B6B"/>
    <w:rsid w:val="00227EF9"/>
    <w:rsid w:val="00234A82"/>
    <w:rsid w:val="002370C8"/>
    <w:rsid w:val="002619A3"/>
    <w:rsid w:val="0026757F"/>
    <w:rsid w:val="0028796C"/>
    <w:rsid w:val="0029305A"/>
    <w:rsid w:val="002B0C07"/>
    <w:rsid w:val="002C3E5F"/>
    <w:rsid w:val="002E477D"/>
    <w:rsid w:val="002F464B"/>
    <w:rsid w:val="00314319"/>
    <w:rsid w:val="00317B37"/>
    <w:rsid w:val="00341839"/>
    <w:rsid w:val="00366B3B"/>
    <w:rsid w:val="00386848"/>
    <w:rsid w:val="003873FD"/>
    <w:rsid w:val="0039401B"/>
    <w:rsid w:val="003A2509"/>
    <w:rsid w:val="003B71B5"/>
    <w:rsid w:val="003E04BD"/>
    <w:rsid w:val="003F71B0"/>
    <w:rsid w:val="00400542"/>
    <w:rsid w:val="00410618"/>
    <w:rsid w:val="00415D04"/>
    <w:rsid w:val="004240CD"/>
    <w:rsid w:val="004256C7"/>
    <w:rsid w:val="004478A4"/>
    <w:rsid w:val="004657CD"/>
    <w:rsid w:val="00473197"/>
    <w:rsid w:val="00480298"/>
    <w:rsid w:val="00483A84"/>
    <w:rsid w:val="004B35A8"/>
    <w:rsid w:val="004C4586"/>
    <w:rsid w:val="004D706B"/>
    <w:rsid w:val="004E314B"/>
    <w:rsid w:val="005008FD"/>
    <w:rsid w:val="00500BEF"/>
    <w:rsid w:val="00534996"/>
    <w:rsid w:val="00543CA6"/>
    <w:rsid w:val="00554751"/>
    <w:rsid w:val="00573C2B"/>
    <w:rsid w:val="005A6CEB"/>
    <w:rsid w:val="005A7FE2"/>
    <w:rsid w:val="005B3021"/>
    <w:rsid w:val="005C34DD"/>
    <w:rsid w:val="005C3EA0"/>
    <w:rsid w:val="005C721E"/>
    <w:rsid w:val="005D2D8D"/>
    <w:rsid w:val="005D4723"/>
    <w:rsid w:val="005F3AFE"/>
    <w:rsid w:val="006164A3"/>
    <w:rsid w:val="00617269"/>
    <w:rsid w:val="006404AD"/>
    <w:rsid w:val="00653243"/>
    <w:rsid w:val="00657971"/>
    <w:rsid w:val="00663A72"/>
    <w:rsid w:val="006824AE"/>
    <w:rsid w:val="00691B82"/>
    <w:rsid w:val="006B1483"/>
    <w:rsid w:val="006C0007"/>
    <w:rsid w:val="006D260C"/>
    <w:rsid w:val="006D62AC"/>
    <w:rsid w:val="006E6999"/>
    <w:rsid w:val="00700E52"/>
    <w:rsid w:val="00701984"/>
    <w:rsid w:val="00714238"/>
    <w:rsid w:val="00714462"/>
    <w:rsid w:val="00720020"/>
    <w:rsid w:val="00727650"/>
    <w:rsid w:val="00740DB2"/>
    <w:rsid w:val="00747E4F"/>
    <w:rsid w:val="007600EF"/>
    <w:rsid w:val="0076258C"/>
    <w:rsid w:val="00770130"/>
    <w:rsid w:val="007749F3"/>
    <w:rsid w:val="00784632"/>
    <w:rsid w:val="00791FE5"/>
    <w:rsid w:val="00793A91"/>
    <w:rsid w:val="007A2A96"/>
    <w:rsid w:val="007B6E4A"/>
    <w:rsid w:val="007D57FE"/>
    <w:rsid w:val="007F2082"/>
    <w:rsid w:val="00833F78"/>
    <w:rsid w:val="008372F5"/>
    <w:rsid w:val="00841B60"/>
    <w:rsid w:val="0085498C"/>
    <w:rsid w:val="008617E3"/>
    <w:rsid w:val="00865A03"/>
    <w:rsid w:val="008662F9"/>
    <w:rsid w:val="00877980"/>
    <w:rsid w:val="00882154"/>
    <w:rsid w:val="00885510"/>
    <w:rsid w:val="00886F44"/>
    <w:rsid w:val="008932D1"/>
    <w:rsid w:val="00896597"/>
    <w:rsid w:val="008B7D50"/>
    <w:rsid w:val="008C1257"/>
    <w:rsid w:val="008C1AAE"/>
    <w:rsid w:val="008C6068"/>
    <w:rsid w:val="008D3B8F"/>
    <w:rsid w:val="00901850"/>
    <w:rsid w:val="0090404A"/>
    <w:rsid w:val="00910F16"/>
    <w:rsid w:val="0091643A"/>
    <w:rsid w:val="009254C1"/>
    <w:rsid w:val="00936893"/>
    <w:rsid w:val="009473F3"/>
    <w:rsid w:val="009514E3"/>
    <w:rsid w:val="009549B1"/>
    <w:rsid w:val="009562F3"/>
    <w:rsid w:val="00957576"/>
    <w:rsid w:val="009717EC"/>
    <w:rsid w:val="00983C2E"/>
    <w:rsid w:val="00990532"/>
    <w:rsid w:val="009A4B8E"/>
    <w:rsid w:val="009C44BE"/>
    <w:rsid w:val="009D31C0"/>
    <w:rsid w:val="00A012FE"/>
    <w:rsid w:val="00A055EB"/>
    <w:rsid w:val="00A303E6"/>
    <w:rsid w:val="00A34A82"/>
    <w:rsid w:val="00A372C0"/>
    <w:rsid w:val="00A5077F"/>
    <w:rsid w:val="00A72136"/>
    <w:rsid w:val="00A723F6"/>
    <w:rsid w:val="00A830EE"/>
    <w:rsid w:val="00AA1EA8"/>
    <w:rsid w:val="00AA1F66"/>
    <w:rsid w:val="00AA444B"/>
    <w:rsid w:val="00AA50F0"/>
    <w:rsid w:val="00AA7E7C"/>
    <w:rsid w:val="00AB2512"/>
    <w:rsid w:val="00AC1490"/>
    <w:rsid w:val="00AC7AA8"/>
    <w:rsid w:val="00AE1F07"/>
    <w:rsid w:val="00AE6450"/>
    <w:rsid w:val="00AF495E"/>
    <w:rsid w:val="00B1497B"/>
    <w:rsid w:val="00B20047"/>
    <w:rsid w:val="00B20B2B"/>
    <w:rsid w:val="00B375A8"/>
    <w:rsid w:val="00B44CAB"/>
    <w:rsid w:val="00B46A4C"/>
    <w:rsid w:val="00B474D8"/>
    <w:rsid w:val="00B50A5C"/>
    <w:rsid w:val="00B80222"/>
    <w:rsid w:val="00B904B8"/>
    <w:rsid w:val="00B95B3E"/>
    <w:rsid w:val="00BA3D64"/>
    <w:rsid w:val="00BA4B1D"/>
    <w:rsid w:val="00BB3DD1"/>
    <w:rsid w:val="00BB55D8"/>
    <w:rsid w:val="00BC1202"/>
    <w:rsid w:val="00BC4907"/>
    <w:rsid w:val="00BD2B19"/>
    <w:rsid w:val="00BE1ADB"/>
    <w:rsid w:val="00BE4D8A"/>
    <w:rsid w:val="00BF08C7"/>
    <w:rsid w:val="00C13327"/>
    <w:rsid w:val="00C153A5"/>
    <w:rsid w:val="00C17B7F"/>
    <w:rsid w:val="00C202B2"/>
    <w:rsid w:val="00C4415E"/>
    <w:rsid w:val="00C638B7"/>
    <w:rsid w:val="00C64B03"/>
    <w:rsid w:val="00C650DA"/>
    <w:rsid w:val="00C71B94"/>
    <w:rsid w:val="00C80323"/>
    <w:rsid w:val="00C9192D"/>
    <w:rsid w:val="00C93726"/>
    <w:rsid w:val="00CA6EBB"/>
    <w:rsid w:val="00CC3539"/>
    <w:rsid w:val="00CD75F3"/>
    <w:rsid w:val="00CE226B"/>
    <w:rsid w:val="00CE5927"/>
    <w:rsid w:val="00CE63A1"/>
    <w:rsid w:val="00CF14C4"/>
    <w:rsid w:val="00CF48F8"/>
    <w:rsid w:val="00CF73D7"/>
    <w:rsid w:val="00D036F2"/>
    <w:rsid w:val="00D11EDD"/>
    <w:rsid w:val="00D20D29"/>
    <w:rsid w:val="00D30C17"/>
    <w:rsid w:val="00D35C40"/>
    <w:rsid w:val="00D414A8"/>
    <w:rsid w:val="00D41FE8"/>
    <w:rsid w:val="00D53E83"/>
    <w:rsid w:val="00D616B7"/>
    <w:rsid w:val="00D76658"/>
    <w:rsid w:val="00D77217"/>
    <w:rsid w:val="00D81D4E"/>
    <w:rsid w:val="00D84796"/>
    <w:rsid w:val="00DA4103"/>
    <w:rsid w:val="00DC550C"/>
    <w:rsid w:val="00DE45DE"/>
    <w:rsid w:val="00DF18A5"/>
    <w:rsid w:val="00DF1F2C"/>
    <w:rsid w:val="00E14C17"/>
    <w:rsid w:val="00E249C4"/>
    <w:rsid w:val="00E47C0F"/>
    <w:rsid w:val="00E61889"/>
    <w:rsid w:val="00E6253B"/>
    <w:rsid w:val="00E64C4D"/>
    <w:rsid w:val="00E85938"/>
    <w:rsid w:val="00E96C4F"/>
    <w:rsid w:val="00EA45B2"/>
    <w:rsid w:val="00EA68E7"/>
    <w:rsid w:val="00EE634B"/>
    <w:rsid w:val="00F03926"/>
    <w:rsid w:val="00F25672"/>
    <w:rsid w:val="00F31468"/>
    <w:rsid w:val="00F418DF"/>
    <w:rsid w:val="00F4561D"/>
    <w:rsid w:val="00F52132"/>
    <w:rsid w:val="00F542E7"/>
    <w:rsid w:val="00F653D3"/>
    <w:rsid w:val="00F75722"/>
    <w:rsid w:val="00F8495F"/>
    <w:rsid w:val="00FC4917"/>
    <w:rsid w:val="00FC55EB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FFBB"/>
  <w15:chartTrackingRefBased/>
  <w15:docId w15:val="{315C5277-C7E0-481A-A3E0-8F4DDB5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0EE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0D72B1"/>
    <w:pPr>
      <w:ind w:left="720"/>
      <w:contextualSpacing/>
    </w:pPr>
  </w:style>
  <w:style w:type="paragraph" w:styleId="FootnoteText">
    <w:name w:val="footnote text"/>
    <w:link w:val="FootnoteTextChar"/>
    <w:uiPriority w:val="99"/>
    <w:unhideWhenUsed/>
    <w:qFormat/>
    <w:rsid w:val="002C3E5F"/>
    <w:pPr>
      <w:spacing w:after="60" w:line="180" w:lineRule="exact"/>
    </w:pPr>
    <w:rPr>
      <w:rFonts w:cs="Times New Roman"/>
      <w:color w:val="000000" w:themeColor="text1"/>
      <w:kern w:val="0"/>
      <w:sz w:val="16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E5F"/>
    <w:rPr>
      <w:rFonts w:cs="Times New Roman"/>
      <w:color w:val="000000" w:themeColor="text1"/>
      <w:kern w:val="0"/>
      <w:sz w:val="16"/>
      <w:szCs w:val="20"/>
      <w14:ligatures w14:val="none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2C3E5F"/>
    <w:pPr>
      <w:spacing w:before="40" w:after="40" w:line="240" w:lineRule="auto"/>
      <w:contextualSpacing/>
    </w:pPr>
    <w:rPr>
      <w:rFonts w:ascii="Calibri" w:eastAsia="Arial" w:hAnsi="Calibri" w:cs="Arial"/>
      <w:kern w:val="0"/>
      <w:sz w:val="16"/>
      <w:szCs w:val="32"/>
      <w:lang w:eastAsia="en-AU" w:bidi="km-KH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3E5F"/>
    <w:rPr>
      <w:rFonts w:ascii="Calibri" w:eastAsia="Arial" w:hAnsi="Calibri" w:cs="Arial"/>
      <w:kern w:val="0"/>
      <w:sz w:val="16"/>
      <w:szCs w:val="32"/>
      <w:lang w:eastAsia="en-AU" w:bidi="km-KH"/>
      <w14:ligatures w14:val="none"/>
    </w:rPr>
  </w:style>
  <w:style w:type="character" w:styleId="EndnoteReference">
    <w:name w:val="endnote reference"/>
    <w:basedOn w:val="DefaultParagraphFont"/>
    <w:uiPriority w:val="99"/>
    <w:unhideWhenUsed/>
    <w:qFormat/>
    <w:rsid w:val="002C3E5F"/>
    <w:rPr>
      <w:rFonts w:ascii="Calibri" w:hAnsi="Calibri"/>
      <w:color w:val="auto"/>
      <w:sz w:val="20"/>
      <w:vertAlign w:val="superscript"/>
    </w:rPr>
  </w:style>
  <w:style w:type="paragraph" w:customStyle="1" w:styleId="endnotetexthyperlink">
    <w:name w:val="endnote text hyperlink"/>
    <w:basedOn w:val="Normal"/>
    <w:link w:val="endnotetexthyperlinkChar"/>
    <w:autoRedefine/>
    <w:qFormat/>
    <w:rsid w:val="002C3E5F"/>
    <w:pPr>
      <w:spacing w:before="40" w:after="40" w:line="240" w:lineRule="auto"/>
      <w:ind w:right="-181"/>
      <w:contextualSpacing/>
    </w:pPr>
    <w:rPr>
      <w:rFonts w:ascii="Calibri" w:eastAsia="Arial" w:hAnsi="Calibri" w:cs="Arial"/>
      <w:color w:val="0000FF"/>
      <w:kern w:val="0"/>
      <w:sz w:val="16"/>
      <w:u w:val="single"/>
      <w:lang w:eastAsia="en-AU" w:bidi="km-KH"/>
      <w14:ligatures w14:val="none"/>
    </w:rPr>
  </w:style>
  <w:style w:type="character" w:customStyle="1" w:styleId="endnotetexthyperlinkChar">
    <w:name w:val="endnote text hyperlink Char"/>
    <w:basedOn w:val="DefaultParagraphFont"/>
    <w:link w:val="endnotetexthyperlink"/>
    <w:rsid w:val="002C3E5F"/>
    <w:rPr>
      <w:rFonts w:ascii="Calibri" w:eastAsia="Arial" w:hAnsi="Calibri" w:cs="Arial"/>
      <w:color w:val="0000FF"/>
      <w:kern w:val="0"/>
      <w:sz w:val="16"/>
      <w:u w:val="single"/>
      <w:lang w:eastAsia="en-AU" w:bidi="km-KH"/>
      <w14:ligatures w14:val="none"/>
    </w:rPr>
  </w:style>
  <w:style w:type="character" w:styleId="FootnoteReference">
    <w:name w:val="footnote reference"/>
    <w:aliases w:val="a Footnote Reference"/>
    <w:basedOn w:val="DefaultParagraphFont"/>
    <w:uiPriority w:val="99"/>
    <w:unhideWhenUsed/>
    <w:qFormat/>
    <w:rsid w:val="00D81D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222"/>
    <w:rPr>
      <w:color w:val="605E5C"/>
      <w:shd w:val="clear" w:color="auto" w:fill="E1DFDD"/>
    </w:rPr>
  </w:style>
  <w:style w:type="paragraph" w:customStyle="1" w:styleId="FootnoteTexthyperlink">
    <w:name w:val="Footnote Text hyperlink"/>
    <w:basedOn w:val="FootnoteText"/>
    <w:qFormat/>
    <w:rsid w:val="00617269"/>
    <w:pPr>
      <w:spacing w:after="0" w:line="240" w:lineRule="auto"/>
    </w:pPr>
    <w:rPr>
      <w:rFonts w:ascii="Times New Roman" w:hAnsi="Times New Roman"/>
      <w:color w:val="3078BA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17269"/>
    <w:pPr>
      <w:spacing w:before="160" w:line="276" w:lineRule="auto"/>
      <w:ind w:left="862" w:right="862"/>
      <w:jc w:val="both"/>
    </w:pPr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character" w:customStyle="1" w:styleId="QuoteChar">
    <w:name w:val="Quote Char"/>
    <w:basedOn w:val="DefaultParagraphFont"/>
    <w:link w:val="Quote"/>
    <w:uiPriority w:val="29"/>
    <w:rsid w:val="00617269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65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CD"/>
  </w:style>
  <w:style w:type="paragraph" w:styleId="Footer">
    <w:name w:val="footer"/>
    <w:basedOn w:val="Normal"/>
    <w:link w:val="FooterChar"/>
    <w:uiPriority w:val="99"/>
    <w:unhideWhenUsed/>
    <w:rsid w:val="00465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CD"/>
  </w:style>
  <w:style w:type="character" w:styleId="Emphasis">
    <w:name w:val="Emphasis"/>
    <w:basedOn w:val="DefaultParagraphFont"/>
    <w:uiPriority w:val="20"/>
    <w:qFormat/>
    <w:rsid w:val="00C638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4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.gov.au/__data/assets/pdf_file/0007/257173/subdr179-indigenous-evaluation.pdf" TargetMode="External"/><Relationship Id="rId13" Type="http://schemas.openxmlformats.org/officeDocument/2006/relationships/hyperlink" Target="https://tesol.org.au/wp-content/uploads/2019/01/ACTA-submission-National-Teacher-Workforce-Action-Plan-final.pdf" TargetMode="External"/><Relationship Id="rId3" Type="http://schemas.openxmlformats.org/officeDocument/2006/relationships/hyperlink" Target="https://tesol.org.au/wp-content/uploads/2020/12/Roadmap-for-English-as-an-additional-language-or-dialect-in-schools-ACTA-May-2022.pdf" TargetMode="External"/><Relationship Id="rId7" Type="http://schemas.openxmlformats.org/officeDocument/2006/relationships/hyperlink" Target="https://www.pc.gov.au/__data/assets/pdf_file/0003/352461/sub011-closing-the-gap-review.pdf" TargetMode="External"/><Relationship Id="rId12" Type="http://schemas.openxmlformats.org/officeDocument/2006/relationships/hyperlink" Target="https://www.pc.gov.au/__data/assets/pdf_file/0019/349102/subdr124-school-agreement.pdf" TargetMode="External"/><Relationship Id="rId17" Type="http://schemas.openxmlformats.org/officeDocument/2006/relationships/hyperlink" Target="https://tesol.org.au/how-many-english-as-an-additional-language-or-dialect-eal-d-learners-are-there-in-australian-schools/" TargetMode="External"/><Relationship Id="rId2" Type="http://schemas.openxmlformats.org/officeDocument/2006/relationships/hyperlink" Target="https://www.aph.gov.au/Parliamentary_Business/Committees/Joint/Migration/settlementoutcomes/Submissions" TargetMode="External"/><Relationship Id="rId16" Type="http://schemas.openxmlformats.org/officeDocument/2006/relationships/hyperlink" Target="https://tesol.org.au/wp-content/uploads/2019/01/ACTA-final-submission-Quality-Initial-Teacher-Education-Review.pdf" TargetMode="External"/><Relationship Id="rId1" Type="http://schemas.openxmlformats.org/officeDocument/2006/relationships/hyperlink" Target="https://www.pc.gov.au/__data/assets/pdf_file/0019/349102/subdr124-school-agreement.pdf" TargetMode="External"/><Relationship Id="rId6" Type="http://schemas.openxmlformats.org/officeDocument/2006/relationships/hyperlink" Target="https://www.pc.gov.au/__data/assets/pdf_file/0019/349102/subdr124-school-agreement.pdf" TargetMode="External"/><Relationship Id="rId11" Type="http://schemas.openxmlformats.org/officeDocument/2006/relationships/hyperlink" Target="https://tesol.org.au/wp-content/uploads/2020/12/Roadmap-for-English-as-an-additional-language-or-dialect-in-schools-ACTA-May-2022.pdf" TargetMode="External"/><Relationship Id="rId5" Type="http://schemas.openxmlformats.org/officeDocument/2006/relationships/hyperlink" Target="https://www.pc.gov.au/__data/assets/pdf_file/0019/349102/subdr124-school-agreement.pdf" TargetMode="External"/><Relationship Id="rId15" Type="http://schemas.openxmlformats.org/officeDocument/2006/relationships/hyperlink" Target="https://tesol.org.au/wp-content/uploads/2019/01/ACTA-submission-on-the-Teacher-Education-Expert-Panel-Discussion-Paper.pdf" TargetMode="External"/><Relationship Id="rId10" Type="http://schemas.openxmlformats.org/officeDocument/2006/relationships/hyperlink" Target="https://atesolnt.org.au/news_and_views/actas-response-to-first-languages-australia-paper-indigenous-languages-priorities-21-april-2023/" TargetMode="External"/><Relationship Id="rId4" Type="http://schemas.openxmlformats.org/officeDocument/2006/relationships/hyperlink" Target="https://tesol.org.au/wp-content/uploads/2020/12/Roadmap-for-English-as-an-additional-language-or-dialect-in-schools-ACTA-May-2022.pdf" TargetMode="External"/><Relationship Id="rId9" Type="http://schemas.openxmlformats.org/officeDocument/2006/relationships/hyperlink" Target="https://atesolnt.org.au/wp-content/uploads/ATESOL-NT-Supplementary-Submission-to-the-Inquiry-into-Adult-Literacy-and-its-Importance.pdf" TargetMode="External"/><Relationship Id="rId14" Type="http://schemas.openxmlformats.org/officeDocument/2006/relationships/hyperlink" Target="https://www.education.gov.au/system/files/documents/submission-file/2023-04/AUA_tranche3_Australian%20Council%20of%20TESOL%20Associ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7D38-F712-4701-AE2E-D2B43339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Michell</dc:creator>
  <cp:keywords/>
  <dc:description/>
  <cp:lastModifiedBy>Michael Michell</cp:lastModifiedBy>
  <cp:revision>64</cp:revision>
  <dcterms:created xsi:type="dcterms:W3CDTF">2024-02-22T04:13:00Z</dcterms:created>
  <dcterms:modified xsi:type="dcterms:W3CDTF">2024-02-23T04:22:00Z</dcterms:modified>
</cp:coreProperties>
</file>