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619E" w14:textId="77777777" w:rsidR="00C80215" w:rsidRPr="00C80215" w:rsidRDefault="00C80215" w:rsidP="00C80215">
      <w:pPr>
        <w:pBdr>
          <w:bottom w:val="single" w:sz="24" w:space="5" w:color="CEE0B6"/>
        </w:pBdr>
        <w:spacing w:after="120" w:line="360" w:lineRule="auto"/>
        <w:outlineLvl w:val="1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  <w:r w:rsidRPr="00C80215"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  <w:t>PENNY MCKAY MEMORIAL AWARD</w:t>
      </w:r>
    </w:p>
    <w:p w14:paraId="2AAA7F81" w14:textId="098A83AD" w:rsidR="00616CFD" w:rsidRPr="00485B23" w:rsidRDefault="00C73006" w:rsidP="00485B23">
      <w:pPr>
        <w:pBdr>
          <w:bottom w:val="single" w:sz="24" w:space="5" w:color="CEE0B6"/>
        </w:pBdr>
        <w:spacing w:after="120" w:line="360" w:lineRule="auto"/>
        <w:outlineLvl w:val="1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  <w:t xml:space="preserve">General Information </w:t>
      </w:r>
    </w:p>
    <w:p w14:paraId="73B80C5D" w14:textId="77777777" w:rsidR="00485B23" w:rsidRDefault="00485B23" w:rsidP="00C73006">
      <w:pPr>
        <w:jc w:val="center"/>
        <w:rPr>
          <w:rFonts w:ascii="Arial" w:hAnsi="Arial" w:cs="Arial"/>
          <w:b/>
        </w:rPr>
      </w:pPr>
    </w:p>
    <w:p w14:paraId="56820403" w14:textId="07AF947D" w:rsidR="002551A4" w:rsidRPr="00C73006" w:rsidRDefault="00616CFD" w:rsidP="002551A4">
      <w:pPr>
        <w:jc w:val="center"/>
        <w:rPr>
          <w:rFonts w:ascii="Arial" w:hAnsi="Arial" w:cs="Arial"/>
          <w:b/>
        </w:rPr>
      </w:pPr>
      <w:r w:rsidRPr="00C80215">
        <w:rPr>
          <w:rFonts w:ascii="Arial" w:hAnsi="Arial" w:cs="Arial"/>
          <w:b/>
        </w:rPr>
        <w:t>Eligibility for the Award</w:t>
      </w:r>
    </w:p>
    <w:p w14:paraId="0FA065B7" w14:textId="5BC7AC2C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>The Award is awarded annually for a doctoral thesis submitted at an Australian university in the preceding</w:t>
      </w:r>
      <w:r w:rsidR="00286360" w:rsidRPr="00C80215">
        <w:rPr>
          <w:rFonts w:ascii="Arial" w:hAnsi="Arial" w:cs="Arial"/>
        </w:rPr>
        <w:t xml:space="preserve"> calendar</w:t>
      </w:r>
      <w:r w:rsidRPr="00C80215">
        <w:rPr>
          <w:rFonts w:ascii="Arial" w:hAnsi="Arial" w:cs="Arial"/>
        </w:rPr>
        <w:t xml:space="preserve"> year, and subsequently deemed to be outstanding. To be eligible for consideration, the thesis should be focused directly on aspects of Australian pre-school or school-based second/additional language education, such as language development, curriculum, teaching or assessment. The applicant must be a verified member of ALAA or their State/Territory ACTA affiliate or ALTAANZ in the year of their application. </w:t>
      </w:r>
    </w:p>
    <w:p w14:paraId="22AAE7E8" w14:textId="77777777" w:rsidR="00485B23" w:rsidRDefault="00485B23" w:rsidP="00924AE0">
      <w:pPr>
        <w:jc w:val="center"/>
        <w:rPr>
          <w:rFonts w:ascii="Arial" w:hAnsi="Arial" w:cs="Arial"/>
          <w:b/>
        </w:rPr>
      </w:pPr>
    </w:p>
    <w:p w14:paraId="75FC2E66" w14:textId="76BF4444" w:rsidR="00616CFD" w:rsidRPr="00924AE0" w:rsidRDefault="00616CFD" w:rsidP="00924AE0">
      <w:pPr>
        <w:jc w:val="center"/>
        <w:rPr>
          <w:rFonts w:ascii="Arial" w:hAnsi="Arial" w:cs="Arial"/>
          <w:b/>
        </w:rPr>
      </w:pPr>
      <w:r w:rsidRPr="00C80215">
        <w:rPr>
          <w:rFonts w:ascii="Arial" w:hAnsi="Arial" w:cs="Arial"/>
          <w:b/>
        </w:rPr>
        <w:t>Applying for the Award</w:t>
      </w:r>
    </w:p>
    <w:p w14:paraId="4A5D1665" w14:textId="63FB0155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>Electronic copies of the applications for the Award are due by midnight</w:t>
      </w:r>
      <w:r w:rsidR="00726222" w:rsidRPr="00C80215">
        <w:rPr>
          <w:rFonts w:ascii="Arial" w:hAnsi="Arial" w:cs="Arial"/>
        </w:rPr>
        <w:t>, 31 October</w:t>
      </w:r>
      <w:r w:rsidRPr="00C80215">
        <w:rPr>
          <w:rFonts w:ascii="Arial" w:hAnsi="Arial" w:cs="Arial"/>
        </w:rPr>
        <w:t xml:space="preserve"> </w:t>
      </w:r>
      <w:r w:rsidR="009566D4">
        <w:rPr>
          <w:rFonts w:ascii="Arial" w:hAnsi="Arial" w:cs="Arial"/>
        </w:rPr>
        <w:t xml:space="preserve">of the calendar year following the submission of the thesis </w:t>
      </w:r>
      <w:r w:rsidRPr="00C80215">
        <w:rPr>
          <w:rFonts w:ascii="Arial" w:hAnsi="Arial" w:cs="Arial"/>
        </w:rPr>
        <w:t xml:space="preserve">to the Chair of the Selection Panel, </w:t>
      </w:r>
      <w:hyperlink r:id="rId5" w:history="1">
        <w:r w:rsidR="0008331D" w:rsidRPr="00833360">
          <w:rPr>
            <w:rStyle w:val="Hyperlink"/>
            <w:rFonts w:ascii="Arial" w:hAnsi="Arial" w:cs="Arial"/>
          </w:rPr>
          <w:t>secretary@tesol.org.au</w:t>
        </w:r>
      </w:hyperlink>
      <w:r w:rsidR="0008331D">
        <w:rPr>
          <w:rFonts w:ascii="Arial" w:hAnsi="Arial" w:cs="Arial"/>
        </w:rPr>
        <w:t xml:space="preserve"> </w:t>
      </w:r>
      <w:r w:rsidR="00473C60">
        <w:rPr>
          <w:rFonts w:ascii="Arial" w:hAnsi="Arial" w:cs="Arial"/>
        </w:rPr>
        <w:t>.</w:t>
      </w:r>
    </w:p>
    <w:p w14:paraId="70310398" w14:textId="77777777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Applications should consist of: </w:t>
      </w:r>
    </w:p>
    <w:p w14:paraId="2363D56F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a correctly completed Application Form (See Attachment 1) </w:t>
      </w:r>
    </w:p>
    <w:p w14:paraId="47FFB680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the thesis abstract </w:t>
      </w:r>
    </w:p>
    <w:p w14:paraId="380928AA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the Table of Contents from the thesis </w:t>
      </w:r>
    </w:p>
    <w:p w14:paraId="5269C544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one chapter from the thesis that the applicant believes best demonstrates the outstanding qualities of the overall thesis </w:t>
      </w:r>
    </w:p>
    <w:p w14:paraId="3EC1B4CB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copies of all examiners’ reports </w:t>
      </w:r>
    </w:p>
    <w:p w14:paraId="2841A996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>a statement of support from one of the applicant’s supervisors; this statement should complement (not duplicate) the examiners’ reports, may comment on anything in the examiners’ reports, and may elaborate on relevant matters not covered in examiners’ reports</w:t>
      </w:r>
    </w:p>
    <w:p w14:paraId="7A13B129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 if the thesis research was not carried out in an Australian school or pre-school setting and/or with (pre)school-age second language learners, a statement (no more than 100 words) explaining how the thesis findings are directly relevant to Australian school settings and school-age learners </w:t>
      </w:r>
    </w:p>
    <w:p w14:paraId="608071A5" w14:textId="77777777" w:rsidR="00616CFD" w:rsidRPr="00C80215" w:rsidRDefault="00616CFD" w:rsidP="00616C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a summary of the thesis outlining the background, methodology, findings and contributions of the study (max. 300 words); this summary will be used to describe the award-winning thesis on the ALAA, ALTAANZ and ACTA websites and in their respective journals </w:t>
      </w:r>
    </w:p>
    <w:p w14:paraId="3A94BB9B" w14:textId="77777777" w:rsidR="00616CFD" w:rsidRPr="00C80215" w:rsidRDefault="00616CFD" w:rsidP="00616CFD">
      <w:pPr>
        <w:rPr>
          <w:rFonts w:ascii="Arial" w:hAnsi="Arial" w:cs="Arial"/>
        </w:rPr>
      </w:pPr>
    </w:p>
    <w:p w14:paraId="22EA86C4" w14:textId="16816536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Applications must contain all of the above otherwise they will be excluded. Applicants will be advised of the outcome of their applications by </w:t>
      </w:r>
      <w:r w:rsidR="00A263A7" w:rsidRPr="00C80215">
        <w:rPr>
          <w:rFonts w:ascii="Arial" w:hAnsi="Arial" w:cs="Arial"/>
        </w:rPr>
        <w:t xml:space="preserve">the end of the calendar year. </w:t>
      </w:r>
    </w:p>
    <w:p w14:paraId="3092E5C0" w14:textId="77777777" w:rsidR="00485B23" w:rsidRDefault="00485B23" w:rsidP="00616CFD">
      <w:pPr>
        <w:jc w:val="center"/>
        <w:rPr>
          <w:rFonts w:ascii="Arial" w:hAnsi="Arial" w:cs="Arial"/>
          <w:b/>
        </w:rPr>
      </w:pPr>
    </w:p>
    <w:p w14:paraId="227FB886" w14:textId="77777777" w:rsidR="00485B23" w:rsidRDefault="00485B23" w:rsidP="00C22B02">
      <w:pPr>
        <w:rPr>
          <w:rFonts w:ascii="Arial" w:hAnsi="Arial" w:cs="Arial"/>
          <w:b/>
        </w:rPr>
      </w:pPr>
    </w:p>
    <w:p w14:paraId="1A40C82D" w14:textId="7E2D14B1" w:rsidR="00616CFD" w:rsidRPr="00C80215" w:rsidRDefault="00616CFD" w:rsidP="00616CFD">
      <w:pPr>
        <w:jc w:val="center"/>
        <w:rPr>
          <w:rFonts w:ascii="Arial" w:hAnsi="Arial" w:cs="Arial"/>
          <w:b/>
        </w:rPr>
      </w:pPr>
      <w:r w:rsidRPr="00C80215">
        <w:rPr>
          <w:rFonts w:ascii="Arial" w:hAnsi="Arial" w:cs="Arial"/>
          <w:b/>
        </w:rPr>
        <w:lastRenderedPageBreak/>
        <w:t>Evaluation Procedures and Criteria</w:t>
      </w:r>
    </w:p>
    <w:p w14:paraId="424C17F3" w14:textId="77777777" w:rsidR="00616CFD" w:rsidRPr="00C80215" w:rsidRDefault="00616CFD" w:rsidP="00616CFD">
      <w:pPr>
        <w:jc w:val="center"/>
        <w:rPr>
          <w:rFonts w:ascii="Arial" w:hAnsi="Arial" w:cs="Arial"/>
          <w:b/>
        </w:rPr>
      </w:pPr>
    </w:p>
    <w:p w14:paraId="7C3FA88E" w14:textId="77777777" w:rsidR="00616CFD" w:rsidRPr="00C80215" w:rsidRDefault="00616CFD" w:rsidP="0008331D">
      <w:pPr>
        <w:pStyle w:val="ListParagraph"/>
        <w:ind w:left="142" w:firstLine="278"/>
        <w:rPr>
          <w:rFonts w:ascii="Arial" w:hAnsi="Arial" w:cs="Arial"/>
          <w:b/>
        </w:rPr>
      </w:pPr>
      <w:r w:rsidRPr="00C80215">
        <w:rPr>
          <w:rFonts w:ascii="Arial" w:hAnsi="Arial" w:cs="Arial"/>
          <w:b/>
        </w:rPr>
        <w:t xml:space="preserve">Procedures </w:t>
      </w:r>
    </w:p>
    <w:p w14:paraId="31324347" w14:textId="77777777" w:rsidR="00616CFD" w:rsidRPr="00C80215" w:rsidRDefault="00616CFD" w:rsidP="00616CFD">
      <w:pPr>
        <w:pStyle w:val="ListParagraph"/>
        <w:ind w:left="420"/>
        <w:rPr>
          <w:rFonts w:ascii="Arial" w:hAnsi="Arial" w:cs="Arial"/>
        </w:rPr>
      </w:pPr>
    </w:p>
    <w:p w14:paraId="2F3448D6" w14:textId="247D936C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Applications will be assessed by a panel of three, being the Presidents of ALAA, ACTA and ALTAANZ or a suitable representative as nominated by the President of each Association. The panel will have the option of co-opting a recognised academic expert in the area of second/additional language education. The Award may not be given in a particular year if the panel judges that none of the applications are at a suitable standard. </w:t>
      </w:r>
    </w:p>
    <w:p w14:paraId="03DAF9BC" w14:textId="77777777" w:rsidR="00616CFD" w:rsidRPr="00C80215" w:rsidRDefault="00616CFD" w:rsidP="00616CFD">
      <w:pPr>
        <w:rPr>
          <w:rFonts w:ascii="Arial" w:hAnsi="Arial" w:cs="Arial"/>
        </w:rPr>
      </w:pPr>
    </w:p>
    <w:p w14:paraId="02AB596C" w14:textId="77777777" w:rsidR="00616CFD" w:rsidRPr="00C80215" w:rsidRDefault="00616CFD" w:rsidP="00616CFD">
      <w:pPr>
        <w:pStyle w:val="ListParagraph"/>
        <w:ind w:left="420"/>
        <w:rPr>
          <w:rFonts w:ascii="Arial" w:hAnsi="Arial" w:cs="Arial"/>
          <w:b/>
        </w:rPr>
      </w:pPr>
      <w:r w:rsidRPr="00C80215">
        <w:rPr>
          <w:rFonts w:ascii="Arial" w:hAnsi="Arial" w:cs="Arial"/>
          <w:b/>
        </w:rPr>
        <w:t xml:space="preserve">Evaluation Criteria </w:t>
      </w:r>
    </w:p>
    <w:p w14:paraId="02923996" w14:textId="77777777" w:rsidR="00616CFD" w:rsidRPr="00C80215" w:rsidRDefault="00616CFD" w:rsidP="00616CFD">
      <w:pPr>
        <w:pStyle w:val="ListParagraph"/>
        <w:ind w:left="420"/>
        <w:rPr>
          <w:rFonts w:ascii="Arial" w:hAnsi="Arial" w:cs="Arial"/>
        </w:rPr>
      </w:pPr>
    </w:p>
    <w:p w14:paraId="3EB7EF8F" w14:textId="77777777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Each application (parts ii – viii above) will be judged holistically against the following criteria: </w:t>
      </w:r>
    </w:p>
    <w:p w14:paraId="316E170A" w14:textId="77777777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(i) the contribution of the thesis to knowledge about second/additional language learning among Australian (pre-/)school-aged learners </w:t>
      </w:r>
    </w:p>
    <w:p w14:paraId="6776A183" w14:textId="77777777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(ii) the innovation and originality of the approach taken by the thesis to its subject matter and/or methodology and/or presentation </w:t>
      </w:r>
    </w:p>
    <w:p w14:paraId="3CF5EE8A" w14:textId="23EF3159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(iii) the clarity of writing and presentation demonstrated by the thesis. </w:t>
      </w:r>
    </w:p>
    <w:p w14:paraId="71857C20" w14:textId="33142692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 xml:space="preserve">To view the report format used by the Panel, see Attachment 2. </w:t>
      </w:r>
    </w:p>
    <w:p w14:paraId="28F7C5B2" w14:textId="48CF1E00" w:rsidR="00616CFD" w:rsidRPr="00C80215" w:rsidRDefault="00616CFD" w:rsidP="00616CFD">
      <w:pPr>
        <w:rPr>
          <w:rFonts w:ascii="Arial" w:hAnsi="Arial" w:cs="Arial"/>
        </w:rPr>
      </w:pPr>
      <w:r w:rsidRPr="00C80215">
        <w:rPr>
          <w:rFonts w:ascii="Arial" w:hAnsi="Arial" w:cs="Arial"/>
        </w:rPr>
        <w:t>Further enquiries about the Award may be directed to the Panel Chair,</w:t>
      </w:r>
      <w:r w:rsidR="002B02C0">
        <w:rPr>
          <w:rFonts w:ascii="Arial" w:hAnsi="Arial" w:cs="Arial"/>
        </w:rPr>
        <w:t xml:space="preserve"> </w:t>
      </w:r>
      <w:hyperlink r:id="rId6" w:history="1">
        <w:r w:rsidR="002B02C0" w:rsidRPr="0042641E">
          <w:rPr>
            <w:rStyle w:val="Hyperlink"/>
            <w:rFonts w:ascii="Arial" w:hAnsi="Arial" w:cs="Arial"/>
          </w:rPr>
          <w:t>secretary@tesol.org.au</w:t>
        </w:r>
      </w:hyperlink>
    </w:p>
    <w:p w14:paraId="5850474D" w14:textId="77777777" w:rsidR="00616CFD" w:rsidRPr="00C80215" w:rsidRDefault="00616CFD" w:rsidP="00A971A9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76F87719" w14:textId="77777777" w:rsidR="00A971A9" w:rsidRPr="00C80215" w:rsidRDefault="00A971A9" w:rsidP="00A971A9">
      <w:pPr>
        <w:rPr>
          <w:rFonts w:ascii="Arial" w:hAnsi="Arial" w:cs="Arial"/>
        </w:rPr>
      </w:pPr>
    </w:p>
    <w:p w14:paraId="1A39C3F3" w14:textId="5445660B" w:rsidR="00C97FDE" w:rsidRPr="00C80215" w:rsidRDefault="00C97FDE">
      <w:pPr>
        <w:spacing w:after="160" w:line="259" w:lineRule="auto"/>
        <w:rPr>
          <w:rFonts w:ascii="Arial" w:eastAsia="Times New Roman" w:hAnsi="Arial" w:cs="Arial"/>
          <w:b/>
          <w:bCs/>
          <w:color w:val="037D51"/>
          <w:kern w:val="36"/>
          <w:sz w:val="32"/>
          <w:szCs w:val="32"/>
          <w:lang w:eastAsia="en-AU"/>
        </w:rPr>
      </w:pPr>
    </w:p>
    <w:sectPr w:rsidR="00C97FDE" w:rsidRPr="00C8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F4"/>
    <w:multiLevelType w:val="hybridMultilevel"/>
    <w:tmpl w:val="99CCA802"/>
    <w:lvl w:ilvl="0" w:tplc="7FFE9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683C"/>
    <w:multiLevelType w:val="hybridMultilevel"/>
    <w:tmpl w:val="1A70B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4604"/>
    <w:multiLevelType w:val="hybridMultilevel"/>
    <w:tmpl w:val="9DDA25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58123">
    <w:abstractNumId w:val="1"/>
  </w:num>
  <w:num w:numId="2" w16cid:durableId="1660498778">
    <w:abstractNumId w:val="0"/>
  </w:num>
  <w:num w:numId="3" w16cid:durableId="54815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59"/>
    <w:rsid w:val="00063EE3"/>
    <w:rsid w:val="0008331D"/>
    <w:rsid w:val="001303B7"/>
    <w:rsid w:val="001321BF"/>
    <w:rsid w:val="00181B67"/>
    <w:rsid w:val="001C5C55"/>
    <w:rsid w:val="001E76C4"/>
    <w:rsid w:val="001F3F9B"/>
    <w:rsid w:val="002271AD"/>
    <w:rsid w:val="0023109F"/>
    <w:rsid w:val="002551A4"/>
    <w:rsid w:val="00282CA8"/>
    <w:rsid w:val="00286360"/>
    <w:rsid w:val="002B02C0"/>
    <w:rsid w:val="002D3C7C"/>
    <w:rsid w:val="002D6B59"/>
    <w:rsid w:val="0037307B"/>
    <w:rsid w:val="00386FA2"/>
    <w:rsid w:val="0040344E"/>
    <w:rsid w:val="00473C60"/>
    <w:rsid w:val="00485B23"/>
    <w:rsid w:val="004C0435"/>
    <w:rsid w:val="00593D58"/>
    <w:rsid w:val="00616CFD"/>
    <w:rsid w:val="006421A0"/>
    <w:rsid w:val="00692AD2"/>
    <w:rsid w:val="006B25F9"/>
    <w:rsid w:val="00726222"/>
    <w:rsid w:val="007612C3"/>
    <w:rsid w:val="0076593E"/>
    <w:rsid w:val="00766A7E"/>
    <w:rsid w:val="0087768A"/>
    <w:rsid w:val="00895C6D"/>
    <w:rsid w:val="008C0CF8"/>
    <w:rsid w:val="008E284C"/>
    <w:rsid w:val="0092316D"/>
    <w:rsid w:val="00924AE0"/>
    <w:rsid w:val="009566D4"/>
    <w:rsid w:val="00A21258"/>
    <w:rsid w:val="00A263A7"/>
    <w:rsid w:val="00A411E0"/>
    <w:rsid w:val="00A65C41"/>
    <w:rsid w:val="00A83B18"/>
    <w:rsid w:val="00A912F1"/>
    <w:rsid w:val="00A971A9"/>
    <w:rsid w:val="00AB15DE"/>
    <w:rsid w:val="00B30A2A"/>
    <w:rsid w:val="00B32250"/>
    <w:rsid w:val="00B54B9C"/>
    <w:rsid w:val="00B856BC"/>
    <w:rsid w:val="00B904DD"/>
    <w:rsid w:val="00BC36A6"/>
    <w:rsid w:val="00BC67B0"/>
    <w:rsid w:val="00C22B02"/>
    <w:rsid w:val="00C311E4"/>
    <w:rsid w:val="00C428FC"/>
    <w:rsid w:val="00C525D2"/>
    <w:rsid w:val="00C73006"/>
    <w:rsid w:val="00C75E9D"/>
    <w:rsid w:val="00C80215"/>
    <w:rsid w:val="00C97FDE"/>
    <w:rsid w:val="00CC3737"/>
    <w:rsid w:val="00CD56D8"/>
    <w:rsid w:val="00DC5269"/>
    <w:rsid w:val="00EC1B71"/>
    <w:rsid w:val="00ED1BCD"/>
    <w:rsid w:val="00F8076E"/>
    <w:rsid w:val="00FC4F4E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5883"/>
  <w15:chartTrackingRefBased/>
  <w15:docId w15:val="{9226315F-6D73-4F3A-936C-92BECBC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41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3C7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tesol.org.au" TargetMode="External"/><Relationship Id="rId5" Type="http://schemas.openxmlformats.org/officeDocument/2006/relationships/hyperlink" Target="mailto:secretary@tesol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Susanne </cp:lastModifiedBy>
  <cp:revision>4</cp:revision>
  <dcterms:created xsi:type="dcterms:W3CDTF">2023-12-21T01:11:00Z</dcterms:created>
  <dcterms:modified xsi:type="dcterms:W3CDTF">2023-12-21T05:13:00Z</dcterms:modified>
</cp:coreProperties>
</file>